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Privacy-Preserving Offline Natural Language Interface for OS Control Using Small Language Models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qnqezeqz72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During Week 1, the primary focus was formalizing the project scope, defining the risk mitigation strategy for local OS control, and conducting a literature review based on two foundational research papers regarding Small Language Model (SLM) function-calling capabilities and adapter-based modular architectures.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owga25tuyh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Literature Review &amp; Technical Justification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aibbnxbfn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Paper 1: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Small Models, Big Tasks: An Exploratory Empirical Study on Small Language Models for Function Calling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(Kavathekar et al., 2025)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&amp; Memory Efficiency:</w:t>
      </w:r>
      <w:r w:rsidDel="00000000" w:rsidR="00000000" w:rsidRPr="00000000">
        <w:rPr>
          <w:rtl w:val="0"/>
        </w:rPr>
        <w:t xml:space="preserve"> Sub-4B parameter SLMs quantized to 4-bit GGUF format reduce memory footprints by ~5x compared to full-precision server models, proving that local execution on consumer hardware is practical.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Formatting Breakdown:</w:t>
      </w:r>
      <w:r w:rsidDel="00000000" w:rsidR="00000000" w:rsidRPr="00000000">
        <w:rPr>
          <w:rtl w:val="0"/>
        </w:rPr>
        <w:t xml:space="preserve"> Unconstrained zero-shot SLMs struggle significantly with strict JSON schema adherence. However, fine-tuning or schema-constrained decoding elevates JSON parsability from 7.34% to over 99%.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Injection Resilience:</w:t>
      </w:r>
      <w:r w:rsidDel="00000000" w:rsidR="00000000" w:rsidRPr="00000000">
        <w:rPr>
          <w:rtl w:val="0"/>
        </w:rPr>
        <w:t xml:space="preserve"> SLMs show strong baseline resilience against direct prompt injection perturbations, maintaining structural integrity with minimal performance loss.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Implication:</w:t>
      </w:r>
      <w:r w:rsidDel="00000000" w:rsidR="00000000" w:rsidRPr="00000000">
        <w:rPr>
          <w:rtl w:val="0"/>
        </w:rPr>
        <w:t xml:space="preserve"> Validates our plan to use an offline GGUF inference engine paired with schema-constrained decoding (e.g., Pydantic) to eliminate syntax errors and hallucinated commands.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t88a8m1mt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Paper 2: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SLM: Bridge the Thin Gap Between Speech and Text Foundation Models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(Wang et al., Google DeepMind)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Lightweight Adaptation:</w:t>
      </w:r>
      <w:r w:rsidDel="00000000" w:rsidR="00000000" w:rsidRPr="00000000">
        <w:rPr>
          <w:rtl w:val="0"/>
        </w:rPr>
        <w:t xml:space="preserve"> Demonstrates that a frozen foundation model paired with a small, trainable adapter (comprising ~1% of total model parameters) can effectively map input representations into structured outputs without retraining the underlying base model.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Instruction Following:</w:t>
      </w:r>
      <w:r w:rsidDel="00000000" w:rsidR="00000000" w:rsidRPr="00000000">
        <w:rPr>
          <w:rtl w:val="0"/>
        </w:rPr>
        <w:t xml:space="preserve"> Proves that thin adaptation layers preserve the core instruction-following capabilities of the base model while enabling specialized downstream tasks.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Implication:</w:t>
      </w:r>
      <w:r w:rsidDel="00000000" w:rsidR="00000000" w:rsidRPr="00000000">
        <w:rPr>
          <w:rtl w:val="0"/>
        </w:rPr>
        <w:t xml:space="preserve"> Supports our modular architecture where the base SLM remains untouched, and system safety/tool execution logic is handled by lightweight, deterministic outer layers rather than heavy model re-engineering.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vfqrchegy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High-Level Architecture Blueprint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 User Input (Text / Local Speech) 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v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[ Offline SLM Engine (GGUF) 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v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[ Schema Enforcement Layer (Pydantic / JSON) 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v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[ Deterministic Safety &amp; Policy Gatekeeper 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/                                           \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(Low/Medium Risk)         (High Risk / Destructive)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|                                           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v                                            v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 OS Driver Execution ]           [ Human-in-the-Loop Confirmation 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kblwdd6sz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Breakdown: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SLM Engine:</w:t>
      </w:r>
      <w:r w:rsidDel="00000000" w:rsidR="00000000" w:rsidRPr="00000000">
        <w:rPr>
          <w:rtl w:val="0"/>
        </w:rPr>
        <w:t xml:space="preserve"> Runs sub-4B quantized models offline (</w:t>
      </w:r>
      <w:r w:rsidDel="00000000" w:rsidR="00000000" w:rsidRPr="00000000">
        <w:rPr>
          <w:color w:val="188038"/>
          <w:rtl w:val="0"/>
        </w:rPr>
        <w:t xml:space="preserve">Llama-3.2-3B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Qwen-2.5-Coder-3B</w:t>
      </w:r>
      <w:r w:rsidDel="00000000" w:rsidR="00000000" w:rsidRPr="00000000">
        <w:rPr>
          <w:rtl w:val="0"/>
        </w:rPr>
        <w:t xml:space="preserve">) via </w:t>
      </w:r>
      <w:r w:rsidDel="00000000" w:rsidR="00000000" w:rsidRPr="00000000">
        <w:rPr>
          <w:color w:val="188038"/>
          <w:rtl w:val="0"/>
        </w:rPr>
        <w:t xml:space="preserve">llama.cpp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color w:val="188038"/>
          <w:rtl w:val="0"/>
        </w:rPr>
        <w:t xml:space="preserve">Ollama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 Enforcement Layer:</w:t>
      </w:r>
      <w:r w:rsidDel="00000000" w:rsidR="00000000" w:rsidRPr="00000000">
        <w:rPr>
          <w:rtl w:val="0"/>
        </w:rPr>
        <w:t xml:space="preserve"> Enforces strict Pydantic schemas so model outputs conform strictly to executable JSON tools.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&amp; Policy Gatekeeper:</w:t>
      </w:r>
      <w:r w:rsidDel="00000000" w:rsidR="00000000" w:rsidRPr="00000000">
        <w:rPr>
          <w:rtl w:val="0"/>
        </w:rPr>
        <w:t xml:space="preserve"> Classifies extracted tool calls by risk tier (</w:t>
      </w:r>
      <w:r w:rsidDel="00000000" w:rsidR="00000000" w:rsidRPr="00000000">
        <w:rPr>
          <w:i w:val="1"/>
          <w:i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: read-only system stats; </w:t>
      </w:r>
      <w:r w:rsidDel="00000000" w:rsidR="00000000" w:rsidRPr="00000000">
        <w:rPr>
          <w:i w:val="1"/>
          <w:iCs w:val="1"/>
          <w:rtl w:val="0"/>
        </w:rPr>
        <w:t xml:space="preserve">Medium</w:t>
      </w:r>
      <w:r w:rsidDel="00000000" w:rsidR="00000000" w:rsidRPr="00000000">
        <w:rPr>
          <w:rtl w:val="0"/>
        </w:rPr>
        <w:t xml:space="preserve">: launch app/adjust volume; </w:t>
      </w:r>
      <w:r w:rsidDel="00000000" w:rsidR="00000000" w:rsidRPr="00000000">
        <w:rPr>
          <w:i w:val="1"/>
          <w:i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: file deletion/system config changes). Enforces Human-in-the-Loop (HITL) authorization for high-risk commands.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 Execution Driver:</w:t>
      </w:r>
      <w:r w:rsidDel="00000000" w:rsidR="00000000" w:rsidRPr="00000000">
        <w:rPr>
          <w:rtl w:val="0"/>
        </w:rPr>
        <w:t xml:space="preserve"> Python subprocess wrappers (</w:t>
      </w:r>
      <w:r w:rsidDel="00000000" w:rsidR="00000000" w:rsidRPr="00000000">
        <w:rPr>
          <w:color w:val="188038"/>
          <w:rtl w:val="0"/>
        </w:rPr>
        <w:t xml:space="preserve">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psutil</w:t>
      </w:r>
      <w:r w:rsidDel="00000000" w:rsidR="00000000" w:rsidRPr="00000000">
        <w:rPr>
          <w:rtl w:val="0"/>
        </w:rPr>
        <w:t xml:space="preserve">) executing approved JSON functions.</w:t>
      </w:r>
    </w:p>
    <w:p w:rsidR="00000000" w:rsidDel="00000000" w:rsidP="00000000" w:rsidRDefault="00000000" w:rsidRPr="00000000" w14:paraId="0000002D">
      <w:pPr>
        <w:pStyle w:val="Heading2"/>
        <w:spacing w:after="240" w:lineRule="auto"/>
        <w:rPr/>
      </w:pPr>
      <w:bookmarkStart w:colFirst="0" w:colLast="0" w:name="_ws4kszbzkhgg" w:id="6"/>
      <w:bookmarkEnd w:id="6"/>
      <w:r w:rsidDel="00000000" w:rsidR="00000000" w:rsidRPr="00000000">
        <w:rPr>
          <w:b w:val="1"/>
          <w:bCs w:val="1"/>
          <w:rtl w:val="0"/>
        </w:rPr>
        <w:t xml:space="preserve">4. Target Evaluation Metrics &amp; Testing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  <w:t xml:space="preserve">To evaluate system performance and safety for the project defense, testing will measure three primary dimensions across a 50-command test suite:</w:t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Schema &amp; Intent Parsing Accuracy:</w:t>
      </w:r>
      <w:r w:rsidDel="00000000" w:rsidR="00000000" w:rsidRPr="00000000">
        <w:rPr>
          <w:rtl w:val="0"/>
        </w:rPr>
        <w:t xml:space="preserve"> Percentage of natural language inputs correctly mapped to valid Pydantic JSON schemas.</w:t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Execution Latency: </w:t>
      </w:r>
      <w:r w:rsidDel="00000000" w:rsidR="00000000" w:rsidRPr="00000000">
        <w:rPr>
          <w:rtl w:val="0"/>
        </w:rPr>
        <w:t xml:space="preserve">Total response time (Speech-to-Text + SLM Inference + OS Execution) measured locally in seconds.</w:t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Safety Gatekeeper Interception Rate: </w:t>
      </w:r>
      <w:r w:rsidDel="00000000" w:rsidR="00000000" w:rsidRPr="00000000">
        <w:rPr>
          <w:rtl w:val="0"/>
        </w:rPr>
        <w:t xml:space="preserve">Percentage of high-risk/destructive actions correctly caught and routed to the Human-in-the-Loop (HITL) prompt.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