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F172A"/>
          <w:sz w:val="44"/>
        </w:rPr>
        <w:t>启动报告</w:t>
      </w:r>
    </w:p>
    <w:p>
      <w:pPr>
        <w:jc w:val="center"/>
      </w:pPr>
      <w:r>
        <w:rPr>
          <w:color w:val="64748B"/>
          <w:sz w:val="22"/>
        </w:rPr>
        <w:t>ContractSys 合同管理系统结题答辩材料</w:t>
      </w:r>
    </w:p>
    <w:p/>
    <w:p>
      <w:pPr>
        <w:pStyle w:val="Heading1"/>
      </w:pPr>
      <w:r>
        <w:t>1. 项目概述</w:t>
      </w:r>
    </w:p>
    <w:p>
      <w:r>
        <w:t>本项目建设一个基于 B/S 架构的合同管理系统，覆盖客户维护、合同起草、附件上传、流程分配、会签、定稿、审批、签订、查询统计和操作日志。系统采用 Spring Boot + Vue 3 前后端分离架构，目标是在课程综合实践结题阶段交付一个可运行、可演示、可验证、可追溯的合同业务系统。</w:t>
      </w:r>
    </w:p>
    <w:p>
      <w:r>
        <w:t>启动阶段的管理重点是明确范围边界、角色分工、里程碑计划、验收指标和风险应对。结题阶段在此基础上补齐回退模型、分片续传、模板管理、状态机验证、演示视频和六份 Word 报告，形成完整答辩材料。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F2F4F7"/>
            <w:vAlign w:val="center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896"/>
            <w:shd w:fill="F2F4F7"/>
            <w:vAlign w:val="center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项目名称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ContractSys 合同管理系统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技术路线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Vue 3 + Spring Boot 3 + Spring Security + Flyway + Docker Compose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Git 基准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94e7eff Accept PR2 workflow improvements（2026-06-08）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当前版本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07327ba Add resumable attachment chunk upload（2026-06-17）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中期后变更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相比中期后基准，131 个文件变更，新增 10393 行，删除 1175 行。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验证摘要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后端 mvn test 文档记录为 82 个测试通过；workflow_sim.py 在轮次上限 4 时遍历 24613 个可达状态，非截断死锁为 0。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成员说明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PPT 第 13 页给出团队分工和真实姓名：赵杰雄、谷友瑄、王凯、项重善、张浩然；报告按 PPT 出现顺序映射到项目负责人、后端开发、前端开发、测试、数据库/运维。</w:t>
            </w:r>
          </w:p>
        </w:tc>
      </w:tr>
    </w:tbl>
    <w:p/>
    <w:p>
      <w:pPr>
        <w:pStyle w:val="Heading1"/>
      </w:pPr>
      <w:r>
        <w:t>2. 启动目标与验收口径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fill="F2F4F7"/>
            <w:vAlign w:val="center"/>
          </w:tcPr>
          <w:p>
            <w:r/>
            <w:r>
              <w:rPr>
                <w:b/>
                <w:sz w:val="18"/>
              </w:rPr>
              <w:t>目标</w:t>
            </w:r>
          </w:p>
        </w:tc>
        <w:tc>
          <w:tcPr>
            <w:tcW w:type="dxa" w:w="3264"/>
            <w:shd w:fill="F2F4F7"/>
            <w:vAlign w:val="center"/>
          </w:tcPr>
          <w:p>
            <w:r/>
            <w:r>
              <w:rPr>
                <w:b/>
                <w:sz w:val="18"/>
              </w:rPr>
              <w:t>启动阶段定义</w:t>
            </w:r>
          </w:p>
        </w:tc>
        <w:tc>
          <w:tcPr>
            <w:tcW w:type="dxa" w:w="3264"/>
            <w:shd w:fill="F2F4F7"/>
            <w:vAlign w:val="center"/>
          </w:tcPr>
          <w:p>
            <w:r/>
            <w:r>
              <w:rPr>
                <w:b/>
                <w:sz w:val="18"/>
              </w:rPr>
              <w:t>结题验收标准</w:t>
            </w:r>
          </w:p>
        </w:tc>
      </w:tr>
      <w:tr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功能闭环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覆盖合同从起草到签订的主流程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主流程可演示，且支持打回、撤回、恢复新轮和历史追踪</w:t>
            </w:r>
          </w:p>
        </w:tc>
      </w:tr>
      <w:tr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权限控制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按管理员、起草人、会签人、审批人、签订人划分职责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菜单、路由、接口和业务数据均有权限校验</w:t>
            </w:r>
          </w:p>
        </w:tc>
      </w:tr>
      <w:tr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数据可追溯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合同状态、任务处理、日志需要留痕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状态历史、任务轮次、版本历史、操作日志均可查询</w:t>
            </w:r>
          </w:p>
        </w:tc>
      </w:tr>
      <w:tr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附件能力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支持常见合同附件上传下载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增加文件魔数校验、分片上传、续传查询和合并入库</w:t>
            </w:r>
          </w:p>
        </w:tc>
      </w:tr>
      <w:tr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工程交付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本地可运行，文档可用于答辩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提供启动脚本、Docker 编排、测试报告、PPT、MP4 和用户手册</w:t>
            </w:r>
          </w:p>
        </w:tc>
      </w:tr>
    </w:tbl>
    <w:p/>
    <w:p>
      <w:pPr>
        <w:pStyle w:val="Heading1"/>
      </w:pPr>
      <w:r>
        <w:t>3. 代码规模与组成分析</w:t>
      </w:r>
    </w:p>
    <w:p>
      <w:r>
        <w:t>按源代码统计口径排除 node_modules、target、dist、output、outputs、.git 和 .codegraph 等依赖/构建/交付产物后，项目有效文件共 186 个，总代码与文档行数 16739 行。该口径覆盖 backend、frontend、scripts、docs 以及根目录必要配置。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  <w:shd w:fill="F2F4F7"/>
            <w:vAlign w:val="center"/>
          </w:tcPr>
          <w:p>
            <w:r/>
            <w:r>
              <w:rPr>
                <w:b/>
                <w:sz w:val="18"/>
              </w:rPr>
              <w:t>组成</w:t>
            </w:r>
          </w:p>
        </w:tc>
        <w:tc>
          <w:tcPr>
            <w:tcW w:type="dxa" w:w="1632"/>
            <w:shd w:fill="F2F4F7"/>
            <w:vAlign w:val="center"/>
          </w:tcPr>
          <w:p>
            <w:r/>
            <w:r>
              <w:rPr>
                <w:b/>
                <w:sz w:val="18"/>
              </w:rPr>
              <w:t>目录/文件</w:t>
            </w:r>
          </w:p>
        </w:tc>
        <w:tc>
          <w:tcPr>
            <w:tcW w:type="dxa" w:w="1632"/>
            <w:shd w:fill="F2F4F7"/>
            <w:vAlign w:val="center"/>
          </w:tcPr>
          <w:p>
            <w:r/>
            <w:r>
              <w:rPr>
                <w:b/>
                <w:sz w:val="18"/>
              </w:rPr>
              <w:t>文件数</w:t>
            </w:r>
          </w:p>
        </w:tc>
        <w:tc>
          <w:tcPr>
            <w:tcW w:type="dxa" w:w="1632"/>
            <w:shd w:fill="F2F4F7"/>
            <w:vAlign w:val="center"/>
          </w:tcPr>
          <w:p>
            <w:r/>
            <w:r>
              <w:rPr>
                <w:b/>
                <w:sz w:val="18"/>
              </w:rPr>
              <w:t>行数</w:t>
            </w:r>
          </w:p>
        </w:tc>
        <w:tc>
          <w:tcPr>
            <w:tcW w:type="dxa" w:w="1632"/>
            <w:shd w:fill="F2F4F7"/>
            <w:vAlign w:val="center"/>
          </w:tcPr>
          <w:p>
            <w:r/>
            <w:r>
              <w:rPr>
                <w:b/>
                <w:sz w:val="18"/>
              </w:rPr>
              <w:t>占比</w:t>
            </w:r>
          </w:p>
        </w:tc>
        <w:tc>
          <w:tcPr>
            <w:tcW w:type="dxa" w:w="1632"/>
            <w:shd w:fill="F2F4F7"/>
            <w:vAlign w:val="center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后端工程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backend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132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8429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50.4%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Spring Boot 业务、权限、工作流、附件、测试与数据库迁移</w:t>
            </w:r>
          </w:p>
        </w:tc>
      </w:tr>
      <w:tr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前端工程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frontend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27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4143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24.7%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Vue 3 页面、路由权限、合同流程交互和样式</w:t>
            </w:r>
          </w:p>
        </w:tc>
      </w:tr>
      <w:tr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项目文档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docs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2177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13.0%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计划、架构、测试问题、扩展设计和代码审查记录</w:t>
            </w:r>
          </w:p>
        </w:tc>
      </w:tr>
      <w:tr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脚本工具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scripts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1532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9.2%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一键启动、停止、演示数据、状态机验证和冒烟检查</w:t>
            </w:r>
          </w:p>
        </w:tc>
      </w:tr>
      <w:tr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根目录配置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docker-compose.yml / README 等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458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2.7%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部署编排、项目说明和运行配置</w:t>
            </w:r>
          </w:p>
        </w:tc>
      </w:tr>
    </w:tbl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  <w:shd w:fill="F2F4F7"/>
            <w:vAlign w:val="center"/>
          </w:tcPr>
          <w:p>
            <w:r/>
            <w:r>
              <w:rPr>
                <w:b/>
                <w:sz w:val="18"/>
              </w:rPr>
              <w:t>语言/类型</w:t>
            </w:r>
          </w:p>
        </w:tc>
        <w:tc>
          <w:tcPr>
            <w:tcW w:type="dxa" w:w="1632"/>
            <w:shd w:fill="F2F4F7"/>
            <w:vAlign w:val="center"/>
          </w:tcPr>
          <w:p>
            <w:r/>
            <w:r>
              <w:rPr>
                <w:b/>
                <w:sz w:val="18"/>
              </w:rPr>
              <w:t>扩展名</w:t>
            </w:r>
          </w:p>
        </w:tc>
        <w:tc>
          <w:tcPr>
            <w:tcW w:type="dxa" w:w="1632"/>
            <w:shd w:fill="F2F4F7"/>
            <w:vAlign w:val="center"/>
          </w:tcPr>
          <w:p>
            <w:r/>
            <w:r>
              <w:rPr>
                <w:b/>
                <w:sz w:val="18"/>
              </w:rPr>
              <w:t>文件数</w:t>
            </w:r>
          </w:p>
        </w:tc>
        <w:tc>
          <w:tcPr>
            <w:tcW w:type="dxa" w:w="1632"/>
            <w:shd w:fill="F2F4F7"/>
            <w:vAlign w:val="center"/>
          </w:tcPr>
          <w:p>
            <w:r/>
            <w:r>
              <w:rPr>
                <w:b/>
                <w:sz w:val="18"/>
              </w:rPr>
              <w:t>行数</w:t>
            </w:r>
          </w:p>
        </w:tc>
        <w:tc>
          <w:tcPr>
            <w:tcW w:type="dxa" w:w="1632"/>
            <w:shd w:fill="F2F4F7"/>
            <w:vAlign w:val="center"/>
          </w:tcPr>
          <w:p>
            <w:r/>
            <w:r>
              <w:rPr>
                <w:b/>
                <w:sz w:val="18"/>
              </w:rPr>
              <w:t>占比</w:t>
            </w:r>
          </w:p>
        </w:tc>
        <w:tc>
          <w:tcPr>
            <w:tcW w:type="dxa" w:w="1632"/>
            <w:shd w:fill="F2F4F7"/>
            <w:vAlign w:val="center"/>
          </w:tcPr>
          <w:p>
            <w:r/>
            <w:r>
              <w:rPr>
                <w:b/>
                <w:sz w:val="18"/>
              </w:rPr>
              <w:t>用途</w:t>
            </w:r>
          </w:p>
        </w:tc>
      </w:tr>
      <w:tr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Java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.java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115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7641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45.6%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后端业务主体、测试和安全配置</w:t>
            </w:r>
          </w:p>
        </w:tc>
      </w:tr>
      <w:tr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Vue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.vue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3018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18.0%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前端页面和组件</w:t>
            </w:r>
          </w:p>
        </w:tc>
      </w:tr>
      <w:tr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Markdown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.md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2539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15.2%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过程文档与答辩素材依据</w:t>
            </w:r>
          </w:p>
        </w:tc>
      </w:tr>
      <w:tr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PowerShell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.ps1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1173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7.0%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启动、停止、冒烟和演示辅助脚本</w:t>
            </w:r>
          </w:p>
        </w:tc>
      </w:tr>
      <w:tr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CSS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.css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897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5.4%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统一页面样式</w:t>
            </w:r>
          </w:p>
        </w:tc>
      </w:tr>
      <w:tr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SQL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.sql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558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3.3%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Flyway 多数据库迁移</w:t>
            </w:r>
          </w:p>
        </w:tc>
      </w:tr>
      <w:tr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Python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.py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359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2.1%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状态机 BFS 验证脚本</w:t>
            </w:r>
          </w:p>
        </w:tc>
      </w:tr>
      <w:tr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JavaScript/YAML/XML/HTML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.js/.yml/.xml/.html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554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3.3%</w:t>
            </w:r>
          </w:p>
        </w:tc>
        <w:tc>
          <w:tcPr>
            <w:tcW w:type="dxa" w:w="1632"/>
            <w:vAlign w:val="center"/>
          </w:tcPr>
          <w:p>
            <w:r/>
            <w:r>
              <w:rPr>
                <w:b w:val="0"/>
                <w:sz w:val="18"/>
              </w:rPr>
              <w:t>前端入口、配置和构建描述</w:t>
            </w:r>
          </w:p>
        </w:tc>
      </w:tr>
    </w:tbl>
    <w:p/>
    <w:p>
      <w:pPr>
        <w:pStyle w:val="Heading1"/>
      </w:pPr>
      <w:r>
        <w:t>4. 时间进度安排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1840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18407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F2F4F7"/>
            <w:vAlign w:val="center"/>
          </w:tcPr>
          <w:p>
            <w:r/>
            <w:r>
              <w:rPr>
                <w:b/>
                <w:sz w:val="18"/>
              </w:rPr>
              <w:t>阶段</w:t>
            </w:r>
          </w:p>
        </w:tc>
        <w:tc>
          <w:tcPr>
            <w:tcW w:type="dxa" w:w="2448"/>
            <w:shd w:fill="F2F4F7"/>
            <w:vAlign w:val="center"/>
          </w:tcPr>
          <w:p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2448"/>
            <w:shd w:fill="F2F4F7"/>
            <w:vAlign w:val="center"/>
          </w:tcPr>
          <w:p>
            <w:r/>
            <w:r>
              <w:rPr>
                <w:b/>
                <w:sz w:val="18"/>
              </w:rPr>
              <w:t>主要任务</w:t>
            </w:r>
          </w:p>
        </w:tc>
        <w:tc>
          <w:tcPr>
            <w:tcW w:type="dxa" w:w="2448"/>
            <w:shd w:fill="F2F4F7"/>
            <w:vAlign w:val="center"/>
          </w:tcPr>
          <w:p>
            <w:r/>
            <w:r>
              <w:rPr>
                <w:b/>
                <w:sz w:val="18"/>
              </w:rPr>
              <w:t>交付物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需求与设计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第 1-2 周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需求分析、架构设计、数据库设计、接口草案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需求分析报告、设计草案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基础模块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第 3 周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认证权限、客户管理、合同起草、前端框架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可运行前后端工程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流程闭环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第 4-5 周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分配、会签、定稿、审批、签订、日志、统计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主流程可演示版本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结题强化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第 6-7 周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回退模型、分片上传、模板、测试、演示视频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结题文档、PPT、视频</w:t>
            </w:r>
          </w:p>
        </w:tc>
      </w:tr>
    </w:tbl>
    <w:p/>
    <w:p>
      <w:pPr>
        <w:pStyle w:val="Heading1"/>
      </w:pPr>
      <w:r>
        <w:t>5. 分工安排与贡献比例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F2F4F7"/>
            <w:vAlign w:val="center"/>
          </w:tcPr>
          <w:p>
            <w:r/>
            <w:r>
              <w:rPr>
                <w:b/>
                <w:sz w:val="18"/>
              </w:rPr>
              <w:t>角色</w:t>
            </w:r>
          </w:p>
        </w:tc>
        <w:tc>
          <w:tcPr>
            <w:tcW w:type="dxa" w:w="1958"/>
            <w:shd w:fill="F2F4F7"/>
            <w:vAlign w:val="center"/>
          </w:tcPr>
          <w:p>
            <w:r/>
            <w:r>
              <w:rPr>
                <w:b/>
                <w:sz w:val="18"/>
              </w:rPr>
              <w:t>真实姓名</w:t>
            </w:r>
          </w:p>
        </w:tc>
        <w:tc>
          <w:tcPr>
            <w:tcW w:type="dxa" w:w="1958"/>
            <w:shd w:fill="F2F4F7"/>
            <w:vAlign w:val="center"/>
          </w:tcPr>
          <w:p>
            <w:r/>
            <w:r>
              <w:rPr>
                <w:b/>
                <w:sz w:val="18"/>
              </w:rPr>
              <w:t>贡献比例</w:t>
            </w:r>
          </w:p>
        </w:tc>
        <w:tc>
          <w:tcPr>
            <w:tcW w:type="dxa" w:w="1958"/>
            <w:shd w:fill="F2F4F7"/>
            <w:vAlign w:val="center"/>
          </w:tcPr>
          <w:p>
            <w:r/>
            <w:r>
              <w:rPr>
                <w:b/>
                <w:sz w:val="18"/>
              </w:rPr>
              <w:t>主要职责</w:t>
            </w:r>
          </w:p>
        </w:tc>
        <w:tc>
          <w:tcPr>
            <w:tcW w:type="dxa" w:w="1958"/>
            <w:shd w:fill="F2F4F7"/>
            <w:vAlign w:val="center"/>
          </w:tcPr>
          <w:p>
            <w:r/>
            <w:r>
              <w:rPr>
                <w:b/>
                <w:sz w:val="18"/>
              </w:rPr>
              <w:t>对应交付物</w:t>
            </w:r>
          </w:p>
        </w:tc>
      </w:tr>
      <w:tr>
        <w:tc>
          <w:tcPr>
            <w:tcW w:type="dxa" w:w="1958"/>
            <w:vAlign w:val="center"/>
          </w:tcPr>
          <w:p>
            <w:r/>
            <w:r>
              <w:rPr>
                <w:b w:val="0"/>
                <w:sz w:val="18"/>
              </w:rPr>
              <w:t>项目负责人</w:t>
            </w:r>
          </w:p>
        </w:tc>
        <w:tc>
          <w:tcPr>
            <w:tcW w:type="dxa" w:w="1958"/>
            <w:vAlign w:val="center"/>
          </w:tcPr>
          <w:p>
            <w:r/>
            <w:r>
              <w:rPr>
                <w:b w:val="0"/>
                <w:sz w:val="18"/>
              </w:rPr>
              <w:t>赵杰雄</w:t>
            </w:r>
          </w:p>
        </w:tc>
        <w:tc>
          <w:tcPr>
            <w:tcW w:type="dxa" w:w="1958"/>
            <w:vAlign w:val="center"/>
          </w:tcPr>
          <w:p>
            <w:r/>
            <w:r>
              <w:rPr>
                <w:b w:val="0"/>
                <w:sz w:val="18"/>
              </w:rPr>
              <w:t>22%</w:t>
            </w:r>
          </w:p>
        </w:tc>
        <w:tc>
          <w:tcPr>
            <w:tcW w:type="dxa" w:w="1958"/>
            <w:vAlign w:val="center"/>
          </w:tcPr>
          <w:p>
            <w:r/>
            <w:r>
              <w:rPr>
                <w:b w:val="0"/>
                <w:sz w:val="18"/>
              </w:rPr>
              <w:t>范围确认、进度统筹、风险管理、文档整合、答辩组织</w:t>
            </w:r>
          </w:p>
        </w:tc>
        <w:tc>
          <w:tcPr>
            <w:tcW w:type="dxa" w:w="1958"/>
            <w:vAlign w:val="center"/>
          </w:tcPr>
          <w:p>
            <w:r/>
            <w:r>
              <w:rPr>
                <w:b w:val="0"/>
                <w:sz w:val="18"/>
              </w:rPr>
              <w:t>启动/关闭报告、结题 PPT、演示视频组织、里程碑与验收材料</w:t>
            </w:r>
          </w:p>
        </w:tc>
      </w:tr>
      <w:tr>
        <w:tc>
          <w:tcPr>
            <w:tcW w:type="dxa" w:w="1958"/>
            <w:vAlign w:val="center"/>
          </w:tcPr>
          <w:p>
            <w:r/>
            <w:r>
              <w:rPr>
                <w:b w:val="0"/>
                <w:sz w:val="18"/>
              </w:rPr>
              <w:t>后端开发</w:t>
            </w:r>
          </w:p>
        </w:tc>
        <w:tc>
          <w:tcPr>
            <w:tcW w:type="dxa" w:w="1958"/>
            <w:vAlign w:val="center"/>
          </w:tcPr>
          <w:p>
            <w:r/>
            <w:r>
              <w:rPr>
                <w:b w:val="0"/>
                <w:sz w:val="18"/>
              </w:rPr>
              <w:t>谷友瑄</w:t>
            </w:r>
          </w:p>
        </w:tc>
        <w:tc>
          <w:tcPr>
            <w:tcW w:type="dxa" w:w="1958"/>
            <w:vAlign w:val="center"/>
          </w:tcPr>
          <w:p>
            <w:r/>
            <w:r>
              <w:rPr>
                <w:b w:val="0"/>
                <w:sz w:val="18"/>
              </w:rPr>
              <w:t>22%</w:t>
            </w:r>
          </w:p>
        </w:tc>
        <w:tc>
          <w:tcPr>
            <w:tcW w:type="dxa" w:w="1958"/>
            <w:vAlign w:val="center"/>
          </w:tcPr>
          <w:p>
            <w:r/>
            <w:r>
              <w:rPr>
                <w:b w:val="0"/>
                <w:sz w:val="18"/>
              </w:rPr>
              <w:t>Spring Boot 工程、JWT/RBAC、合同状态机、附件上传、模板和统计接口</w:t>
            </w:r>
          </w:p>
        </w:tc>
        <w:tc>
          <w:tcPr>
            <w:tcW w:type="dxa" w:w="1958"/>
            <w:vAlign w:val="center"/>
          </w:tcPr>
          <w:p>
            <w:r/>
            <w:r>
              <w:rPr>
                <w:b w:val="0"/>
                <w:sz w:val="18"/>
              </w:rPr>
              <w:t>后端接口、领域服务、数据库迁移、权限校验、集成测试</w:t>
            </w:r>
          </w:p>
        </w:tc>
      </w:tr>
      <w:tr>
        <w:tc>
          <w:tcPr>
            <w:tcW w:type="dxa" w:w="1958"/>
            <w:vAlign w:val="center"/>
          </w:tcPr>
          <w:p>
            <w:r/>
            <w:r>
              <w:rPr>
                <w:b w:val="0"/>
                <w:sz w:val="18"/>
              </w:rPr>
              <w:t>前端开发</w:t>
            </w:r>
          </w:p>
        </w:tc>
        <w:tc>
          <w:tcPr>
            <w:tcW w:type="dxa" w:w="1958"/>
            <w:vAlign w:val="center"/>
          </w:tcPr>
          <w:p>
            <w:r/>
            <w:r>
              <w:rPr>
                <w:b w:val="0"/>
                <w:sz w:val="18"/>
              </w:rPr>
              <w:t>王凯</w:t>
            </w:r>
          </w:p>
        </w:tc>
        <w:tc>
          <w:tcPr>
            <w:tcW w:type="dxa" w:w="1958"/>
            <w:vAlign w:val="center"/>
          </w:tcPr>
          <w:p>
            <w:r/>
            <w:r>
              <w:rPr>
                <w:b w:val="0"/>
                <w:sz w:val="18"/>
              </w:rPr>
              <w:t>21%</w:t>
            </w:r>
          </w:p>
        </w:tc>
        <w:tc>
          <w:tcPr>
            <w:tcW w:type="dxa" w:w="1958"/>
            <w:vAlign w:val="center"/>
          </w:tcPr>
          <w:p>
            <w:r/>
            <w:r>
              <w:rPr>
                <w:b w:val="0"/>
                <w:sz w:val="18"/>
              </w:rPr>
              <w:t>Vue 页面、路由权限、合同详情、流程可视化、查询统计和演示素材</w:t>
            </w:r>
          </w:p>
        </w:tc>
        <w:tc>
          <w:tcPr>
            <w:tcW w:type="dxa" w:w="1958"/>
            <w:vAlign w:val="center"/>
          </w:tcPr>
          <w:p>
            <w:r/>
            <w:r>
              <w:rPr>
                <w:b w:val="0"/>
                <w:sz w:val="18"/>
              </w:rPr>
              <w:t>前端页面、组件、交互状态、截图素材和用户手册配图</w:t>
            </w:r>
          </w:p>
        </w:tc>
      </w:tr>
      <w:tr>
        <w:tc>
          <w:tcPr>
            <w:tcW w:type="dxa" w:w="1958"/>
            <w:vAlign w:val="center"/>
          </w:tcPr>
          <w:p>
            <w:r/>
            <w:r>
              <w:rPr>
                <w:b w:val="0"/>
                <w:sz w:val="18"/>
              </w:rPr>
              <w:t>测试</w:t>
            </w:r>
          </w:p>
        </w:tc>
        <w:tc>
          <w:tcPr>
            <w:tcW w:type="dxa" w:w="1958"/>
            <w:vAlign w:val="center"/>
          </w:tcPr>
          <w:p>
            <w:r/>
            <w:r>
              <w:rPr>
                <w:b w:val="0"/>
                <w:sz w:val="18"/>
              </w:rPr>
              <w:t>项重善</w:t>
            </w:r>
          </w:p>
        </w:tc>
        <w:tc>
          <w:tcPr>
            <w:tcW w:type="dxa" w:w="1958"/>
            <w:vAlign w:val="center"/>
          </w:tcPr>
          <w:p>
            <w:r/>
            <w:r>
              <w:rPr>
                <w:b w:val="0"/>
                <w:sz w:val="18"/>
              </w:rPr>
              <w:t>18%</w:t>
            </w:r>
          </w:p>
        </w:tc>
        <w:tc>
          <w:tcPr>
            <w:tcW w:type="dxa" w:w="1958"/>
            <w:vAlign w:val="center"/>
          </w:tcPr>
          <w:p>
            <w:r/>
            <w:r>
              <w:rPr>
                <w:b w:val="0"/>
                <w:sz w:val="18"/>
              </w:rPr>
              <w:t>测试用例、回归验证、Playwright 演示脚本、缺陷复核和验收记录</w:t>
            </w:r>
          </w:p>
        </w:tc>
        <w:tc>
          <w:tcPr>
            <w:tcW w:type="dxa" w:w="1958"/>
            <w:vAlign w:val="center"/>
          </w:tcPr>
          <w:p>
            <w:r/>
            <w:r>
              <w:rPr>
                <w:b w:val="0"/>
                <w:sz w:val="18"/>
              </w:rPr>
              <w:t>测试报告、回归清单、自动化验证记录、演示流程确认</w:t>
            </w:r>
          </w:p>
        </w:tc>
      </w:tr>
      <w:tr>
        <w:tc>
          <w:tcPr>
            <w:tcW w:type="dxa" w:w="1958"/>
            <w:vAlign w:val="center"/>
          </w:tcPr>
          <w:p>
            <w:r/>
            <w:r>
              <w:rPr>
                <w:b w:val="0"/>
                <w:sz w:val="18"/>
              </w:rPr>
              <w:t>数据库/运维</w:t>
            </w:r>
          </w:p>
        </w:tc>
        <w:tc>
          <w:tcPr>
            <w:tcW w:type="dxa" w:w="1958"/>
            <w:vAlign w:val="center"/>
          </w:tcPr>
          <w:p>
            <w:r/>
            <w:r>
              <w:rPr>
                <w:b w:val="0"/>
                <w:sz w:val="18"/>
              </w:rPr>
              <w:t>张浩然</w:t>
            </w:r>
          </w:p>
        </w:tc>
        <w:tc>
          <w:tcPr>
            <w:tcW w:type="dxa" w:w="1958"/>
            <w:vAlign w:val="center"/>
          </w:tcPr>
          <w:p>
            <w:r/>
            <w:r>
              <w:rPr>
                <w:b w:val="0"/>
                <w:sz w:val="18"/>
              </w:rPr>
              <w:t>17%</w:t>
            </w:r>
          </w:p>
        </w:tc>
        <w:tc>
          <w:tcPr>
            <w:tcW w:type="dxa" w:w="1958"/>
            <w:vAlign w:val="center"/>
          </w:tcPr>
          <w:p>
            <w:r/>
            <w:r>
              <w:rPr>
                <w:b w:val="0"/>
                <w:sz w:val="18"/>
              </w:rPr>
              <w:t>Flyway 迁移、Docker Compose、启动停止脚本、演示数据和部署说明</w:t>
            </w:r>
          </w:p>
        </w:tc>
        <w:tc>
          <w:tcPr>
            <w:tcW w:type="dxa" w:w="1958"/>
            <w:vAlign w:val="center"/>
          </w:tcPr>
          <w:p>
            <w:r/>
            <w:r>
              <w:rPr>
                <w:b w:val="0"/>
                <w:sz w:val="18"/>
              </w:rPr>
              <w:t>数据库脚本、Docker 编排、start-demo/stop-demo、部署与运维说明</w:t>
            </w:r>
          </w:p>
        </w:tc>
      </w:tr>
    </w:tbl>
    <w:p/>
    <w:p>
      <w:r>
        <w:t>贡献比例按任务复杂度、代码实现量、测试与文档投入、答辩材料产出综合估算，总计 100%。PPT 中给出的项目负责人、后端开发、前端开发、测试分工在此表中展开，数据库/运维作为支撑职责单列，便于启动报告和关闭报告保持一致。</w:t>
      </w:r>
    </w:p>
    <w:p>
      <w:r>
        <w:br w:type="page"/>
      </w:r>
    </w:p>
    <w:p>
      <w:pPr>
        <w:pStyle w:val="Heading1"/>
      </w:pPr>
      <w:r>
        <w:t>6. 风险识别与启动应对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F2F4F7"/>
            <w:vAlign w:val="center"/>
          </w:tcPr>
          <w:p>
            <w:r/>
            <w:r>
              <w:rPr>
                <w:b/>
                <w:sz w:val="18"/>
              </w:rPr>
              <w:t>风险</w:t>
            </w:r>
          </w:p>
        </w:tc>
        <w:tc>
          <w:tcPr>
            <w:tcW w:type="dxa" w:w="2448"/>
            <w:shd w:fill="F2F4F7"/>
            <w:vAlign w:val="center"/>
          </w:tcPr>
          <w:p>
            <w:r/>
            <w:r>
              <w:rPr>
                <w:b/>
                <w:sz w:val="18"/>
              </w:rPr>
              <w:t>影响</w:t>
            </w:r>
          </w:p>
        </w:tc>
        <w:tc>
          <w:tcPr>
            <w:tcW w:type="dxa" w:w="2448"/>
            <w:shd w:fill="F2F4F7"/>
            <w:vAlign w:val="center"/>
          </w:tcPr>
          <w:p>
            <w:r/>
            <w:r>
              <w:rPr>
                <w:b/>
                <w:sz w:val="18"/>
              </w:rPr>
              <w:t>启动阶段应对</w:t>
            </w:r>
          </w:p>
        </w:tc>
        <w:tc>
          <w:tcPr>
            <w:tcW w:type="dxa" w:w="2448"/>
            <w:shd w:fill="F2F4F7"/>
            <w:vAlign w:val="center"/>
          </w:tcPr>
          <w:p>
            <w:r/>
            <w:r>
              <w:rPr>
                <w:b/>
                <w:sz w:val="18"/>
              </w:rPr>
              <w:t>结题状态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合同状态机复杂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回退、撤回、多审批人容易导致流程卡死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先定义状态和任务表，再补集成测试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通过 currentRound、task.round 和 workflow_sim.py 做回归验证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权限边界漂移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前端可见但后端拒绝，或后端接口越权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统一权限点并要求接口二次校验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采用 JWT、RBAC、@RequirePermission 和业务归属校验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附件上传中断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较大文件失败后用户需要重新上传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普通上传先闭环，后续扩展续传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结题阶段补充分片会话、已传分片查询和 complete 合并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文档与代码脱节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答辩材料无法解释真实实现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文档跟随阶段里程碑更新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b w:val="0"/>
                <w:sz w:val="18"/>
              </w:rPr>
              <w:t>六份报告、PPT 和 MP4 均围绕实际功能与测试证据组织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224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>ContractSys 合同管理系统 | 启动报告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47D7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F172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F172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