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2075E5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2075E5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2075E5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78DB0206" w:rsidR="00596EE5" w:rsidRDefault="00CD5DAE" w:rsidP="00596EE5">
      <w:r w:rsidRPr="00CD5DAE">
        <w:t xml:space="preserve">Why and how apply basic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2075E5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3E5AFFB1"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5D0CFE70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of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27396B1E" w:rsidR="0054186C" w:rsidRDefault="000F214B" w:rsidP="00CD5DAE">
      <w:r>
        <w:t xml:space="preserve">With the increase of the frequency </w:t>
      </w:r>
      <w:r w:rsidR="00A05CBE">
        <w:t xml:space="preserve">of deployment as well as </w:t>
      </w:r>
      <w:r>
        <w:t>the full automation of the deployment process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>attack the 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15B88876" w:rsidR="00823BAA" w:rsidRDefault="00320CE1" w:rsidP="00CD5DAE">
      <w:pPr>
        <w:rPr>
          <w:noProof/>
          <w:lang w:val="fr-BE"/>
        </w:rPr>
      </w:pPr>
      <w:r w:rsidRPr="00320CE1">
        <w:rPr>
          <w:noProof/>
          <w:lang w:val="fr-BE"/>
        </w:rPr>
        <w:t xml:space="preserve">Common </w:t>
      </w:r>
      <w:r w:rsidR="00301632">
        <w:rPr>
          <w:noProof/>
          <w:lang w:val="fr-BE"/>
        </w:rPr>
        <w:t>c</w:t>
      </w:r>
      <w:r w:rsidRPr="00320CE1">
        <w:rPr>
          <w:noProof/>
          <w:lang w:val="fr-BE"/>
        </w:rPr>
        <w:t>onti</w:t>
      </w:r>
      <w:r>
        <w:rPr>
          <w:noProof/>
          <w:lang w:val="fr-BE"/>
        </w:rPr>
        <w:t xml:space="preserve">nuous </w:t>
      </w:r>
      <w:r w:rsidR="00301632">
        <w:rPr>
          <w:noProof/>
          <w:lang w:val="fr-BE"/>
        </w:rPr>
        <w:t>d</w:t>
      </w:r>
      <w:r w:rsidR="00A16341">
        <w:rPr>
          <w:noProof/>
          <w:lang w:val="fr-BE"/>
        </w:rPr>
        <w:t>eployment</w:t>
      </w:r>
      <w:r>
        <w:rPr>
          <w:noProof/>
          <w:lang w:val="fr-BE"/>
        </w:rPr>
        <w:t xml:space="preserve"> pipeline 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7A7FF109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589E">
        <w:rPr>
          <w:noProof/>
        </w:rPr>
        <w:t>1</w:t>
      </w:r>
      <w:r>
        <w:fldChar w:fldCharType="end"/>
      </w:r>
      <w:r>
        <w:t>: Figure01.png</w:t>
      </w:r>
    </w:p>
    <w:p w14:paraId="393C59E7" w14:textId="335FBC63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does what they are expected to perform without bug).</w:t>
      </w:r>
    </w:p>
    <w:p w14:paraId="30A73C62" w14:textId="26C58E0A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>. I</w:t>
      </w:r>
      <w:r w:rsidR="00DD68AC">
        <w:t>t 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40398230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end-users?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77777777" w:rsidR="00475AF6" w:rsidRDefault="00F87759">
      <w:r>
        <w:t xml:space="preserve">To </w:t>
      </w:r>
      <w:r w:rsidR="00301632">
        <w:t xml:space="preserve">try to remove these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77777777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Figure02.png</w:t>
      </w:r>
    </w:p>
    <w:p w14:paraId="49E08E12" w14:textId="055FC8A2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 xml:space="preserve">validation.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0065E2E1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 either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77777777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77777777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</w:t>
      </w:r>
      <w:r>
        <w:rPr>
          <w:b w:val="0"/>
          <w:bCs w:val="0"/>
          <w:color w:val="auto"/>
          <w:sz w:val="22"/>
          <w:szCs w:val="22"/>
        </w:rPr>
        <w:t xml:space="preserve">no </w:t>
      </w:r>
      <w:r>
        <w:rPr>
          <w:b w:val="0"/>
          <w:bCs w:val="0"/>
          <w:color w:val="auto"/>
          <w:sz w:val="22"/>
          <w:szCs w:val="22"/>
        </w:rPr>
        <w:t>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end-users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lastRenderedPageBreak/>
        <w:t>Technical proposal</w:t>
      </w:r>
    </w:p>
    <w:p w14:paraId="7B7B2D72" w14:textId="0C4443F7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The table below show a list a validation that can be performed in this final post deployment step</w:t>
      </w:r>
      <w:r w:rsidR="00997655">
        <w:rPr>
          <w:b w:val="0"/>
          <w:bCs w:val="0"/>
          <w:color w:val="auto"/>
          <w:sz w:val="22"/>
          <w:szCs w:val="22"/>
        </w:rPr>
        <w:t xml:space="preserve">. In this table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were chosen to allow </w:t>
      </w:r>
      <w:r w:rsidR="00933C9C">
        <w:rPr>
          <w:b w:val="0"/>
          <w:bCs w:val="0"/>
          <w:color w:val="auto"/>
          <w:sz w:val="22"/>
          <w:szCs w:val="22"/>
        </w:rPr>
        <w:t>validation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a online service </w:t>
      </w:r>
      <w:r w:rsidR="00933C9C">
        <w:rPr>
          <w:b w:val="0"/>
          <w:bCs w:val="0"/>
          <w:color w:val="auto"/>
          <w:sz w:val="22"/>
          <w:szCs w:val="22"/>
        </w:rPr>
        <w:t>to open the capability to either target an internal (Intranet) or an external (Internet) applications. All chose tools are free and open source.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206CA" w14:paraId="3CA12ADA" w14:textId="08274B9E" w:rsidTr="006206CA">
        <w:tc>
          <w:tcPr>
            <w:tcW w:w="3096" w:type="dxa"/>
          </w:tcPr>
          <w:p w14:paraId="18BD82F9" w14:textId="29206C69" w:rsidR="006206CA" w:rsidRDefault="006206CA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Order</w:t>
            </w:r>
          </w:p>
        </w:tc>
        <w:tc>
          <w:tcPr>
            <w:tcW w:w="3096" w:type="dxa"/>
          </w:tcPr>
          <w:p w14:paraId="39563E4F" w14:textId="5C096F11" w:rsidR="006206CA" w:rsidRDefault="006206CA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</w:t>
            </w:r>
            <w:r w:rsidR="00997655">
              <w:rPr>
                <w:b w:val="0"/>
                <w:bCs w:val="0"/>
                <w:color w:val="auto"/>
                <w:sz w:val="22"/>
                <w:szCs w:val="22"/>
              </w:rPr>
              <w:t>o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n objective</w:t>
            </w:r>
          </w:p>
        </w:tc>
        <w:tc>
          <w:tcPr>
            <w:tcW w:w="3096" w:type="dxa"/>
          </w:tcPr>
          <w:p w14:paraId="668CB0F5" w14:textId="0049202B" w:rsidR="006206CA" w:rsidRDefault="009976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</w:p>
        </w:tc>
      </w:tr>
      <w:tr w:rsidR="006206CA" w14:paraId="612C3CAA" w14:textId="696AC934" w:rsidTr="006206CA">
        <w:tc>
          <w:tcPr>
            <w:tcW w:w="3096" w:type="dxa"/>
          </w:tcPr>
          <w:p w14:paraId="0DF5B1FC" w14:textId="191C3909" w:rsidR="006206CA" w:rsidRDefault="00933C9C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096" w:type="dxa"/>
          </w:tcPr>
          <w:p w14:paraId="25B9BA49" w14:textId="18B77757" w:rsidR="006206CA" w:rsidRDefault="00933C9C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all </w:t>
            </w:r>
            <w:r w:rsidR="00B14D30">
              <w:rPr>
                <w:b w:val="0"/>
                <w:bCs w:val="0"/>
                <w:color w:val="auto"/>
                <w:sz w:val="22"/>
                <w:szCs w:val="22"/>
              </w:rPr>
              <w:t>HTTP security headers applicable for the application topology are present and correctly defined.</w:t>
            </w:r>
          </w:p>
        </w:tc>
        <w:tc>
          <w:tcPr>
            <w:tcW w:w="3096" w:type="dxa"/>
          </w:tcPr>
          <w:p w14:paraId="40B5C4B4" w14:textId="77777777" w:rsidR="006206CA" w:rsidRDefault="006206CA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6206CA" w14:paraId="60EE63C6" w14:textId="52C56D3F" w:rsidTr="006206CA">
        <w:tc>
          <w:tcPr>
            <w:tcW w:w="3096" w:type="dxa"/>
          </w:tcPr>
          <w:p w14:paraId="79201DCC" w14:textId="10615B17" w:rsidR="006206CA" w:rsidRDefault="00F85323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096" w:type="dxa"/>
          </w:tcPr>
          <w:p w14:paraId="6024055B" w14:textId="3BDB073B" w:rsidR="006206CA" w:rsidRDefault="00B14D30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="00F85323">
              <w:rPr>
                <w:b w:val="0"/>
                <w:bCs w:val="0"/>
                <w:color w:val="auto"/>
                <w:sz w:val="22"/>
                <w:szCs w:val="22"/>
              </w:rPr>
              <w:t xml:space="preserve">only </w:t>
            </w:r>
            <w:r w:rsidR="00764316">
              <w:rPr>
                <w:b w:val="0"/>
                <w:bCs w:val="0"/>
                <w:color w:val="auto"/>
                <w:sz w:val="22"/>
                <w:szCs w:val="22"/>
              </w:rPr>
              <w:t xml:space="preserve">a </w:t>
            </w:r>
            <w:r w:rsidR="00F85323">
              <w:rPr>
                <w:b w:val="0"/>
                <w:bCs w:val="0"/>
                <w:color w:val="auto"/>
                <w:sz w:val="22"/>
                <w:szCs w:val="22"/>
              </w:rPr>
              <w:t xml:space="preserve">secure protocol </w:t>
            </w:r>
            <w:r w:rsidR="00764316">
              <w:rPr>
                <w:b w:val="0"/>
                <w:bCs w:val="0"/>
                <w:color w:val="auto"/>
                <w:sz w:val="22"/>
                <w:szCs w:val="22"/>
              </w:rPr>
              <w:t>is</w:t>
            </w:r>
            <w:r w:rsidR="00F85323">
              <w:rPr>
                <w:b w:val="0"/>
                <w:bCs w:val="0"/>
                <w:color w:val="auto"/>
                <w:sz w:val="22"/>
                <w:szCs w:val="22"/>
              </w:rPr>
              <w:t xml:space="preserve"> used (HTTPS)</w:t>
            </w:r>
            <w:r w:rsidR="0076431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096" w:type="dxa"/>
          </w:tcPr>
          <w:p w14:paraId="7AFCFA33" w14:textId="77777777" w:rsidR="006206CA" w:rsidRDefault="006206CA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F85323" w14:paraId="538AD6DA" w14:textId="77777777" w:rsidTr="006206CA">
        <w:tc>
          <w:tcPr>
            <w:tcW w:w="3096" w:type="dxa"/>
          </w:tcPr>
          <w:p w14:paraId="5C89B465" w14:textId="01F0386F" w:rsidR="00F85323" w:rsidRDefault="00F85323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096" w:type="dxa"/>
          </w:tcPr>
          <w:p w14:paraId="29DA7703" w14:textId="40119BB4" w:rsidR="00F85323" w:rsidRDefault="00F85323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the TLS configuration is secure according to </w:t>
            </w:r>
            <w:r w:rsidR="00764316">
              <w:rPr>
                <w:b w:val="0"/>
                <w:bCs w:val="0"/>
                <w:color w:val="auto"/>
                <w:sz w:val="22"/>
                <w:szCs w:val="22"/>
              </w:rPr>
              <w:t>current standard.</w:t>
            </w:r>
          </w:p>
        </w:tc>
        <w:tc>
          <w:tcPr>
            <w:tcW w:w="3096" w:type="dxa"/>
          </w:tcPr>
          <w:p w14:paraId="3D146C48" w14:textId="77777777" w:rsidR="00F85323" w:rsidRDefault="00F85323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764316" w14:paraId="0879055F" w14:textId="77777777" w:rsidTr="006206CA">
        <w:tc>
          <w:tcPr>
            <w:tcW w:w="3096" w:type="dxa"/>
          </w:tcPr>
          <w:p w14:paraId="18648178" w14:textId="25CFBAFF" w:rsidR="00764316" w:rsidRDefault="00764316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096" w:type="dxa"/>
          </w:tcPr>
          <w:p w14:paraId="62C78D31" w14:textId="68C3573A" w:rsidR="00764316" w:rsidRDefault="00764316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no </w:t>
            </w:r>
            <w:r w:rsidR="00711C70">
              <w:rPr>
                <w:b w:val="0"/>
                <w:bCs w:val="0"/>
                <w:color w:val="auto"/>
                <w:sz w:val="22"/>
                <w:szCs w:val="22"/>
              </w:rPr>
              <w:t>sensitive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content or secrets is </w:t>
            </w:r>
            <w:r w:rsidR="00711C70">
              <w:rPr>
                <w:b w:val="0"/>
                <w:bCs w:val="0"/>
                <w:color w:val="auto"/>
                <w:sz w:val="22"/>
                <w:szCs w:val="22"/>
              </w:rPr>
              <w:t>exposed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3096" w:type="dxa"/>
          </w:tcPr>
          <w:p w14:paraId="1C807E46" w14:textId="77777777" w:rsidR="00764316" w:rsidRDefault="00764316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764316" w14:paraId="3885FE14" w14:textId="77777777" w:rsidTr="006206CA">
        <w:tc>
          <w:tcPr>
            <w:tcW w:w="3096" w:type="dxa"/>
          </w:tcPr>
          <w:p w14:paraId="21B5D215" w14:textId="28F635CC" w:rsidR="00764316" w:rsidRDefault="00711C70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096" w:type="dxa"/>
          </w:tcPr>
          <w:p w14:paraId="57492CB2" w14:textId="71098B13" w:rsidR="00764316" w:rsidRDefault="00764316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="00711C70">
              <w:rPr>
                <w:b w:val="0"/>
                <w:bCs w:val="0"/>
                <w:color w:val="auto"/>
                <w:sz w:val="22"/>
                <w:szCs w:val="22"/>
              </w:rPr>
              <w:t>a security.txt file is present to allow security bug reporting in a secure way.</w:t>
            </w:r>
          </w:p>
        </w:tc>
        <w:tc>
          <w:tcPr>
            <w:tcW w:w="3096" w:type="dxa"/>
          </w:tcPr>
          <w:p w14:paraId="2D4483EE" w14:textId="77777777" w:rsidR="00764316" w:rsidRDefault="00764316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</w:tbl>
    <w:p w14:paraId="41C80D56" w14:textId="4371B009" w:rsidR="00EF5378" w:rsidRPr="00A44F48" w:rsidRDefault="00FA6F3E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EF5378" w:rsidRPr="002622B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BE10AA" w:rsidP="002F0CFC">
      <w:pPr>
        <w:pStyle w:val="ListParagraph"/>
        <w:numPr>
          <w:ilvl w:val="0"/>
          <w:numId w:val="4"/>
        </w:numPr>
      </w:pPr>
      <w:hyperlink r:id="rId18" w:history="1">
        <w:r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602827" w:rsidP="002F0CFC">
      <w:pPr>
        <w:pStyle w:val="ListParagraph"/>
        <w:numPr>
          <w:ilvl w:val="0"/>
          <w:numId w:val="4"/>
        </w:numPr>
      </w:pPr>
      <w:hyperlink r:id="rId19" w:history="1">
        <w:r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9A4007" w:rsidP="002F0CFC">
      <w:pPr>
        <w:pStyle w:val="ListParagraph"/>
        <w:numPr>
          <w:ilvl w:val="0"/>
          <w:numId w:val="4"/>
        </w:numPr>
      </w:pPr>
      <w:hyperlink r:id="rId20" w:history="1">
        <w:r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77777777" w:rsidR="009A4007" w:rsidRDefault="009A4007" w:rsidP="002F0CFC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B3AFD" w14:textId="77777777" w:rsidR="002075E5" w:rsidRDefault="002075E5" w:rsidP="00EF5378">
      <w:pPr>
        <w:spacing w:after="0" w:line="240" w:lineRule="auto"/>
      </w:pPr>
      <w:r>
        <w:separator/>
      </w:r>
    </w:p>
  </w:endnote>
  <w:endnote w:type="continuationSeparator" w:id="0">
    <w:p w14:paraId="0369A669" w14:textId="77777777" w:rsidR="002075E5" w:rsidRDefault="002075E5" w:rsidP="00EF5378">
      <w:pPr>
        <w:spacing w:after="0" w:line="240" w:lineRule="auto"/>
      </w:pPr>
      <w:r>
        <w:continuationSeparator/>
      </w:r>
    </w:p>
  </w:endnote>
  <w:endnote w:type="continuationNotice" w:id="1">
    <w:p w14:paraId="33187E15" w14:textId="77777777" w:rsidR="002075E5" w:rsidRDefault="002075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F644B" w14:textId="77777777" w:rsidR="002075E5" w:rsidRDefault="002075E5" w:rsidP="00EF5378">
      <w:pPr>
        <w:spacing w:after="0" w:line="240" w:lineRule="auto"/>
      </w:pPr>
      <w:r>
        <w:separator/>
      </w:r>
    </w:p>
  </w:footnote>
  <w:footnote w:type="continuationSeparator" w:id="0">
    <w:p w14:paraId="65E2CDFE" w14:textId="77777777" w:rsidR="002075E5" w:rsidRDefault="002075E5" w:rsidP="00EF5378">
      <w:pPr>
        <w:spacing w:after="0" w:line="240" w:lineRule="auto"/>
      </w:pPr>
      <w:r>
        <w:continuationSeparator/>
      </w:r>
    </w:p>
  </w:footnote>
  <w:footnote w:type="continuationNotice" w:id="1">
    <w:p w14:paraId="70EB87DB" w14:textId="77777777" w:rsidR="002075E5" w:rsidRDefault="002075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114DB"/>
    <w:rsid w:val="00030B41"/>
    <w:rsid w:val="000419F6"/>
    <w:rsid w:val="00043AE7"/>
    <w:rsid w:val="0005017A"/>
    <w:rsid w:val="00055700"/>
    <w:rsid w:val="000814AE"/>
    <w:rsid w:val="0008410C"/>
    <w:rsid w:val="00090156"/>
    <w:rsid w:val="00090764"/>
    <w:rsid w:val="0009515B"/>
    <w:rsid w:val="0009735C"/>
    <w:rsid w:val="000B6006"/>
    <w:rsid w:val="000C61DC"/>
    <w:rsid w:val="000D0962"/>
    <w:rsid w:val="000D6C21"/>
    <w:rsid w:val="000E35CF"/>
    <w:rsid w:val="000E458C"/>
    <w:rsid w:val="000F214B"/>
    <w:rsid w:val="000F2163"/>
    <w:rsid w:val="00100724"/>
    <w:rsid w:val="00117C30"/>
    <w:rsid w:val="001404D4"/>
    <w:rsid w:val="00143171"/>
    <w:rsid w:val="00151C38"/>
    <w:rsid w:val="00160301"/>
    <w:rsid w:val="00170C0A"/>
    <w:rsid w:val="00174E8F"/>
    <w:rsid w:val="001A2D4D"/>
    <w:rsid w:val="001B4B1C"/>
    <w:rsid w:val="001B6A54"/>
    <w:rsid w:val="001B7E94"/>
    <w:rsid w:val="001C5870"/>
    <w:rsid w:val="001D63A2"/>
    <w:rsid w:val="001F3B02"/>
    <w:rsid w:val="002075E5"/>
    <w:rsid w:val="00216F74"/>
    <w:rsid w:val="002278A3"/>
    <w:rsid w:val="0024386F"/>
    <w:rsid w:val="002622B9"/>
    <w:rsid w:val="0026419E"/>
    <w:rsid w:val="002717B2"/>
    <w:rsid w:val="002719AE"/>
    <w:rsid w:val="00274D31"/>
    <w:rsid w:val="00277C21"/>
    <w:rsid w:val="002855E9"/>
    <w:rsid w:val="00286D86"/>
    <w:rsid w:val="002872C6"/>
    <w:rsid w:val="00292BF1"/>
    <w:rsid w:val="002B1E10"/>
    <w:rsid w:val="002D050A"/>
    <w:rsid w:val="002D7612"/>
    <w:rsid w:val="002E1629"/>
    <w:rsid w:val="002E1C2F"/>
    <w:rsid w:val="002E23DA"/>
    <w:rsid w:val="002F0CFC"/>
    <w:rsid w:val="002F6A47"/>
    <w:rsid w:val="00301632"/>
    <w:rsid w:val="00320CE1"/>
    <w:rsid w:val="0033790A"/>
    <w:rsid w:val="003455B4"/>
    <w:rsid w:val="00371FCF"/>
    <w:rsid w:val="003737C6"/>
    <w:rsid w:val="0038181F"/>
    <w:rsid w:val="003A5844"/>
    <w:rsid w:val="003C46BC"/>
    <w:rsid w:val="003D250E"/>
    <w:rsid w:val="003D6E00"/>
    <w:rsid w:val="003E3937"/>
    <w:rsid w:val="003F6858"/>
    <w:rsid w:val="003F6D57"/>
    <w:rsid w:val="00405EEF"/>
    <w:rsid w:val="004147C8"/>
    <w:rsid w:val="00442488"/>
    <w:rsid w:val="00475AF6"/>
    <w:rsid w:val="0047616C"/>
    <w:rsid w:val="00480A4C"/>
    <w:rsid w:val="004A1206"/>
    <w:rsid w:val="004C051A"/>
    <w:rsid w:val="004C47A3"/>
    <w:rsid w:val="004D5D4B"/>
    <w:rsid w:val="004E1531"/>
    <w:rsid w:val="004E6891"/>
    <w:rsid w:val="00500EBD"/>
    <w:rsid w:val="005038B0"/>
    <w:rsid w:val="005064B5"/>
    <w:rsid w:val="00513B46"/>
    <w:rsid w:val="00515A80"/>
    <w:rsid w:val="00516438"/>
    <w:rsid w:val="00526B17"/>
    <w:rsid w:val="0054186C"/>
    <w:rsid w:val="005432BC"/>
    <w:rsid w:val="00544FA3"/>
    <w:rsid w:val="00545342"/>
    <w:rsid w:val="00557D19"/>
    <w:rsid w:val="005669DF"/>
    <w:rsid w:val="0058144E"/>
    <w:rsid w:val="0059349E"/>
    <w:rsid w:val="0059387E"/>
    <w:rsid w:val="00596EE5"/>
    <w:rsid w:val="005A0E7E"/>
    <w:rsid w:val="005B1415"/>
    <w:rsid w:val="005C2F28"/>
    <w:rsid w:val="005C31EF"/>
    <w:rsid w:val="005C4AEF"/>
    <w:rsid w:val="005C593A"/>
    <w:rsid w:val="005E469E"/>
    <w:rsid w:val="005F7D55"/>
    <w:rsid w:val="00601B55"/>
    <w:rsid w:val="00602827"/>
    <w:rsid w:val="00604C9B"/>
    <w:rsid w:val="006161C9"/>
    <w:rsid w:val="00616BF3"/>
    <w:rsid w:val="006206CA"/>
    <w:rsid w:val="006238D1"/>
    <w:rsid w:val="00633482"/>
    <w:rsid w:val="00635378"/>
    <w:rsid w:val="006456C8"/>
    <w:rsid w:val="006536F8"/>
    <w:rsid w:val="00653A93"/>
    <w:rsid w:val="00676942"/>
    <w:rsid w:val="00682335"/>
    <w:rsid w:val="006A1D4F"/>
    <w:rsid w:val="006B0086"/>
    <w:rsid w:val="006C7786"/>
    <w:rsid w:val="006D471D"/>
    <w:rsid w:val="006D69F3"/>
    <w:rsid w:val="006E2C0D"/>
    <w:rsid w:val="006E3894"/>
    <w:rsid w:val="00711C70"/>
    <w:rsid w:val="007175C4"/>
    <w:rsid w:val="00726918"/>
    <w:rsid w:val="00734182"/>
    <w:rsid w:val="007473C0"/>
    <w:rsid w:val="00764316"/>
    <w:rsid w:val="00776280"/>
    <w:rsid w:val="0078655E"/>
    <w:rsid w:val="0079659F"/>
    <w:rsid w:val="007A5FCC"/>
    <w:rsid w:val="007C5D2F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3BAA"/>
    <w:rsid w:val="008275EE"/>
    <w:rsid w:val="008330E5"/>
    <w:rsid w:val="008339F2"/>
    <w:rsid w:val="008514C1"/>
    <w:rsid w:val="008566B0"/>
    <w:rsid w:val="00880482"/>
    <w:rsid w:val="00881E70"/>
    <w:rsid w:val="008C145E"/>
    <w:rsid w:val="008D1FB4"/>
    <w:rsid w:val="008D3C79"/>
    <w:rsid w:val="008E064D"/>
    <w:rsid w:val="008F3176"/>
    <w:rsid w:val="009133FC"/>
    <w:rsid w:val="00930554"/>
    <w:rsid w:val="00933C9C"/>
    <w:rsid w:val="009400CA"/>
    <w:rsid w:val="00947BFC"/>
    <w:rsid w:val="00954089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A000EF"/>
    <w:rsid w:val="00A05CBE"/>
    <w:rsid w:val="00A12D15"/>
    <w:rsid w:val="00A16341"/>
    <w:rsid w:val="00A44F48"/>
    <w:rsid w:val="00A5413B"/>
    <w:rsid w:val="00A613A1"/>
    <w:rsid w:val="00A64821"/>
    <w:rsid w:val="00A82AFC"/>
    <w:rsid w:val="00A837D3"/>
    <w:rsid w:val="00A934A8"/>
    <w:rsid w:val="00A9589E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30FC3"/>
    <w:rsid w:val="00B429B5"/>
    <w:rsid w:val="00B448BB"/>
    <w:rsid w:val="00B51479"/>
    <w:rsid w:val="00B52C65"/>
    <w:rsid w:val="00B64A54"/>
    <w:rsid w:val="00B7519D"/>
    <w:rsid w:val="00BA663D"/>
    <w:rsid w:val="00BB5642"/>
    <w:rsid w:val="00BC11B9"/>
    <w:rsid w:val="00BE10AA"/>
    <w:rsid w:val="00BF02B3"/>
    <w:rsid w:val="00BF4D08"/>
    <w:rsid w:val="00C01400"/>
    <w:rsid w:val="00C06E78"/>
    <w:rsid w:val="00C1199D"/>
    <w:rsid w:val="00C13C36"/>
    <w:rsid w:val="00C20472"/>
    <w:rsid w:val="00C247A5"/>
    <w:rsid w:val="00C321C1"/>
    <w:rsid w:val="00C47BF0"/>
    <w:rsid w:val="00C53DB4"/>
    <w:rsid w:val="00C67310"/>
    <w:rsid w:val="00C70937"/>
    <w:rsid w:val="00C94126"/>
    <w:rsid w:val="00CA6AF4"/>
    <w:rsid w:val="00CD1746"/>
    <w:rsid w:val="00CD5DAE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43851"/>
    <w:rsid w:val="00D520DD"/>
    <w:rsid w:val="00D66236"/>
    <w:rsid w:val="00D83110"/>
    <w:rsid w:val="00D86CEF"/>
    <w:rsid w:val="00DA4583"/>
    <w:rsid w:val="00DB6D90"/>
    <w:rsid w:val="00DD68AC"/>
    <w:rsid w:val="00DE2C56"/>
    <w:rsid w:val="00DE4871"/>
    <w:rsid w:val="00DF0185"/>
    <w:rsid w:val="00E1288D"/>
    <w:rsid w:val="00E244EB"/>
    <w:rsid w:val="00E3068B"/>
    <w:rsid w:val="00E308DF"/>
    <w:rsid w:val="00E34B7A"/>
    <w:rsid w:val="00E3626B"/>
    <w:rsid w:val="00E458BF"/>
    <w:rsid w:val="00E60734"/>
    <w:rsid w:val="00E62571"/>
    <w:rsid w:val="00E72FB8"/>
    <w:rsid w:val="00E770C7"/>
    <w:rsid w:val="00EA3672"/>
    <w:rsid w:val="00ED10FF"/>
    <w:rsid w:val="00ED5731"/>
    <w:rsid w:val="00EF39DB"/>
    <w:rsid w:val="00EF5378"/>
    <w:rsid w:val="00F12BD6"/>
    <w:rsid w:val="00F2560E"/>
    <w:rsid w:val="00F57F63"/>
    <w:rsid w:val="00F66851"/>
    <w:rsid w:val="00F85323"/>
    <w:rsid w:val="00F87759"/>
    <w:rsid w:val="00F92704"/>
    <w:rsid w:val="00FA092D"/>
    <w:rsid w:val="00FA2AC1"/>
    <w:rsid w:val="00FA4B07"/>
    <w:rsid w:val="00FA6F3E"/>
    <w:rsid w:val="00FE1A5B"/>
    <w:rsid w:val="00FE58A4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www.atlassian.com/continuous-delivery/continuous-deployment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blog.christianposta.com/deploy/blue-green-deployments-a-b-testing-and-canary-releas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i34Ihbuslg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5360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196</cp:revision>
  <dcterms:created xsi:type="dcterms:W3CDTF">2021-07-12T15:25:00Z</dcterms:created>
  <dcterms:modified xsi:type="dcterms:W3CDTF">2022-01-23T10:38:00Z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