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583E8D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583E8D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583E8D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583E8D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61D92B86" w:rsidR="000419F6" w:rsidRDefault="00A42039">
      <w:r>
        <w:rPr>
          <w:rFonts w:ascii="Segoe UI Emoji" w:hAnsi="Segoe UI Emoji" w:cs="Segoe UI Emoji"/>
          <w:b/>
        </w:rPr>
        <w:t xml:space="preserve">ℹ </w:t>
      </w:r>
      <w:r w:rsidR="00EF5378" w:rsidRPr="00EF5378">
        <w:rPr>
          <w:b/>
        </w:rPr>
        <w:t>Note:</w:t>
      </w:r>
      <w:r w:rsidR="00EF5378">
        <w:t xml:space="preserve"> In the content below, all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7DADCC8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Nowadays, </w:t>
      </w:r>
      <w:r w:rsidR="008D1FB4">
        <w:t>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3324FB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64133CA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lastRenderedPageBreak/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583E8D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583E8D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583E8D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583E8D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75859B0A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do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d</w:t>
            </w:r>
            <w:r w:rsidR="0040088B" w:rsidRPr="0040088B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lastRenderedPageBreak/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020BDE0E" w14:textId="4D100786" w:rsidR="00B92EF2" w:rsidRPr="00B92EF2" w:rsidRDefault="00B92EF2" w:rsidP="00B92EF2">
      <w:pPr>
        <w:jc w:val="center"/>
      </w:pPr>
      <w:r w:rsidRPr="00B92EF2">
        <w:rPr>
          <w:noProof/>
        </w:rPr>
        <w:drawing>
          <wp:inline distT="0" distB="0" distL="0" distR="0" wp14:anchorId="7AFD75EB" wp14:editId="6AA7753E">
            <wp:extent cx="3746183" cy="1216105"/>
            <wp:effectExtent l="38100" t="38100" r="102235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669" cy="1223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D7A741E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rPr>
          <w:noProof/>
        </w:rPr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084284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0362435F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A0144" w:rsidRPr="00AA0144">
        <w:rPr>
          <w:i/>
          <w:iCs/>
        </w:rPr>
        <w:t>testssl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lastRenderedPageBreak/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3A59DA27" w14:textId="7A920BA5" w:rsidR="00D3274A" w:rsidRDefault="00D3274A" w:rsidP="002A66BC">
      <w:pPr>
        <w:jc w:val="center"/>
      </w:pPr>
      <w:r w:rsidRPr="00D3274A">
        <w:rPr>
          <w:noProof/>
        </w:rPr>
        <w:drawing>
          <wp:inline distT="0" distB="0" distL="0" distR="0" wp14:anchorId="4FD5B698" wp14:editId="5D1A9135">
            <wp:extent cx="5760720" cy="1122680"/>
            <wp:effectExtent l="38100" t="38100" r="87630" b="965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7D502B49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83172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056B3238" w:rsidR="00A65BB3" w:rsidRDefault="004763A9" w:rsidP="004763A9">
      <w:pPr>
        <w:pStyle w:val="Heading1"/>
      </w:pPr>
      <w:r>
        <w:t>G</w:t>
      </w:r>
      <w:r w:rsidRPr="004763A9">
        <w:t xml:space="preserve">o </w:t>
      </w:r>
      <w:r w:rsidR="00BC42FF">
        <w:t>F</w:t>
      </w:r>
      <w:r w:rsidRPr="004763A9">
        <w:t>urther</w:t>
      </w:r>
    </w:p>
    <w:p w14:paraId="3C9AAF68" w14:textId="7C724A2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 xml:space="preserve">is based on a product.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11CBAE9E" w:rsidR="00A109E8" w:rsidRDefault="00A109E8" w:rsidP="00FF0BD5">
      <w:r>
        <w:t xml:space="preserve">Below is an example of usage of </w:t>
      </w:r>
      <w:r w:rsidRPr="009F0476">
        <w:rPr>
          <w:i/>
          <w:iCs/>
        </w:rPr>
        <w:t>nuclei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C65A27" w:rsidRPr="009F0476">
        <w:rPr>
          <w:i/>
          <w:iCs/>
        </w:rPr>
        <w:t>nuclei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4DF69A3F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Figure06.png</w:t>
      </w:r>
    </w:p>
    <w:p w14:paraId="08883B3B" w14:textId="45812E6E" w:rsidR="009F0476" w:rsidRP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empty.</w:t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 xml:space="preserve">provider. This blog post provided </w:t>
      </w:r>
      <w:r w:rsidR="00784DB1">
        <w:lastRenderedPageBreak/>
        <w:t>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583E8D" w:rsidP="002F0CFC">
      <w:pPr>
        <w:pStyle w:val="ListParagraph"/>
        <w:numPr>
          <w:ilvl w:val="0"/>
          <w:numId w:val="4"/>
        </w:numPr>
      </w:pPr>
      <w:hyperlink r:id="rId29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583E8D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0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583E8D" w:rsidP="002F0CFC">
      <w:pPr>
        <w:pStyle w:val="ListParagraph"/>
        <w:numPr>
          <w:ilvl w:val="0"/>
          <w:numId w:val="4"/>
        </w:numPr>
      </w:pPr>
      <w:hyperlink r:id="rId31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583E8D" w:rsidP="002F0CFC">
      <w:pPr>
        <w:pStyle w:val="ListParagraph"/>
        <w:numPr>
          <w:ilvl w:val="0"/>
          <w:numId w:val="4"/>
        </w:numPr>
      </w:pPr>
      <w:hyperlink r:id="rId32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583E8D" w:rsidP="002F0CFC">
      <w:pPr>
        <w:pStyle w:val="ListParagraph"/>
        <w:numPr>
          <w:ilvl w:val="0"/>
          <w:numId w:val="4"/>
        </w:numPr>
      </w:pPr>
      <w:hyperlink r:id="rId33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583E8D" w:rsidP="002F0CFC">
      <w:pPr>
        <w:pStyle w:val="ListParagraph"/>
        <w:numPr>
          <w:ilvl w:val="0"/>
          <w:numId w:val="4"/>
        </w:numPr>
      </w:pPr>
      <w:hyperlink r:id="rId34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583E8D" w:rsidP="00DE6753">
      <w:pPr>
        <w:pStyle w:val="ListParagraph"/>
        <w:numPr>
          <w:ilvl w:val="0"/>
          <w:numId w:val="4"/>
        </w:numPr>
      </w:pPr>
      <w:hyperlink r:id="rId35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583E8D" w:rsidP="002F0CFC">
      <w:pPr>
        <w:pStyle w:val="ListParagraph"/>
        <w:numPr>
          <w:ilvl w:val="0"/>
          <w:numId w:val="4"/>
        </w:numPr>
      </w:pPr>
      <w:hyperlink r:id="rId36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583E8D" w:rsidP="002F0CFC">
      <w:pPr>
        <w:pStyle w:val="ListParagraph"/>
        <w:numPr>
          <w:ilvl w:val="0"/>
          <w:numId w:val="4"/>
        </w:numPr>
      </w:pPr>
      <w:hyperlink r:id="rId37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583E8D" w:rsidP="002F0CFC">
      <w:pPr>
        <w:pStyle w:val="ListParagraph"/>
        <w:numPr>
          <w:ilvl w:val="0"/>
          <w:numId w:val="4"/>
        </w:numPr>
      </w:pPr>
      <w:hyperlink r:id="rId38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583E8D" w:rsidP="002F0CFC">
      <w:pPr>
        <w:pStyle w:val="ListParagraph"/>
        <w:numPr>
          <w:ilvl w:val="0"/>
          <w:numId w:val="4"/>
        </w:numPr>
      </w:pPr>
      <w:hyperlink r:id="rId39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583E8D" w:rsidP="002F0CFC">
      <w:pPr>
        <w:pStyle w:val="ListParagraph"/>
        <w:numPr>
          <w:ilvl w:val="0"/>
          <w:numId w:val="4"/>
        </w:numPr>
      </w:pPr>
      <w:hyperlink r:id="rId40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583E8D" w:rsidP="002F0CFC">
      <w:pPr>
        <w:pStyle w:val="ListParagraph"/>
        <w:numPr>
          <w:ilvl w:val="0"/>
          <w:numId w:val="4"/>
        </w:numPr>
      </w:pPr>
      <w:hyperlink r:id="rId41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5E940C99" w:rsidR="008C2325" w:rsidRDefault="00583E8D" w:rsidP="002F0CFC">
      <w:pPr>
        <w:pStyle w:val="ListParagraph"/>
        <w:numPr>
          <w:ilvl w:val="0"/>
          <w:numId w:val="4"/>
        </w:numPr>
      </w:pPr>
      <w:hyperlink r:id="rId42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31FC" w14:textId="77777777" w:rsidR="00583E8D" w:rsidRDefault="00583E8D" w:rsidP="00EF5378">
      <w:pPr>
        <w:spacing w:after="0" w:line="240" w:lineRule="auto"/>
      </w:pPr>
      <w:r>
        <w:separator/>
      </w:r>
    </w:p>
  </w:endnote>
  <w:endnote w:type="continuationSeparator" w:id="0">
    <w:p w14:paraId="7EDC7C92" w14:textId="77777777" w:rsidR="00583E8D" w:rsidRDefault="00583E8D" w:rsidP="00EF5378">
      <w:pPr>
        <w:spacing w:after="0" w:line="240" w:lineRule="auto"/>
      </w:pPr>
      <w:r>
        <w:continuationSeparator/>
      </w:r>
    </w:p>
  </w:endnote>
  <w:endnote w:type="continuationNotice" w:id="1">
    <w:p w14:paraId="0BA02BF6" w14:textId="77777777" w:rsidR="00583E8D" w:rsidRDefault="00583E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E16B" w14:textId="77777777" w:rsidR="00583E8D" w:rsidRDefault="00583E8D" w:rsidP="00EF5378">
      <w:pPr>
        <w:spacing w:after="0" w:line="240" w:lineRule="auto"/>
      </w:pPr>
      <w:r>
        <w:separator/>
      </w:r>
    </w:p>
  </w:footnote>
  <w:footnote w:type="continuationSeparator" w:id="0">
    <w:p w14:paraId="07E67454" w14:textId="77777777" w:rsidR="00583E8D" w:rsidRDefault="00583E8D" w:rsidP="00EF5378">
      <w:pPr>
        <w:spacing w:after="0" w:line="240" w:lineRule="auto"/>
      </w:pPr>
      <w:r>
        <w:continuationSeparator/>
      </w:r>
    </w:p>
  </w:footnote>
  <w:footnote w:type="continuationNotice" w:id="1">
    <w:p w14:paraId="18B65079" w14:textId="77777777" w:rsidR="00583E8D" w:rsidRDefault="00583E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27558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373A"/>
    <w:rsid w:val="000B5F5A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74A2"/>
    <w:rsid w:val="00160301"/>
    <w:rsid w:val="00170C0A"/>
    <w:rsid w:val="00174E8F"/>
    <w:rsid w:val="00175A6B"/>
    <w:rsid w:val="001A0800"/>
    <w:rsid w:val="001A2D4D"/>
    <w:rsid w:val="001A7605"/>
    <w:rsid w:val="001B2708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3937"/>
    <w:rsid w:val="003F3B85"/>
    <w:rsid w:val="003F6858"/>
    <w:rsid w:val="003F6D57"/>
    <w:rsid w:val="0040088B"/>
    <w:rsid w:val="00405EEF"/>
    <w:rsid w:val="0040610B"/>
    <w:rsid w:val="004147C8"/>
    <w:rsid w:val="00420497"/>
    <w:rsid w:val="00426470"/>
    <w:rsid w:val="00437813"/>
    <w:rsid w:val="0044008B"/>
    <w:rsid w:val="00442488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83E8D"/>
    <w:rsid w:val="0059349E"/>
    <w:rsid w:val="0059387E"/>
    <w:rsid w:val="00596EE5"/>
    <w:rsid w:val="005A0E7E"/>
    <w:rsid w:val="005A4958"/>
    <w:rsid w:val="005B1415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373DB"/>
    <w:rsid w:val="007473C0"/>
    <w:rsid w:val="00752557"/>
    <w:rsid w:val="00753F0F"/>
    <w:rsid w:val="00755B0D"/>
    <w:rsid w:val="007632B4"/>
    <w:rsid w:val="00764316"/>
    <w:rsid w:val="00776280"/>
    <w:rsid w:val="00784DB1"/>
    <w:rsid w:val="0078655E"/>
    <w:rsid w:val="0079238A"/>
    <w:rsid w:val="0079659F"/>
    <w:rsid w:val="007A5FCC"/>
    <w:rsid w:val="007B11FE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A000EF"/>
    <w:rsid w:val="00A05CBE"/>
    <w:rsid w:val="00A109E8"/>
    <w:rsid w:val="00A12D15"/>
    <w:rsid w:val="00A16341"/>
    <w:rsid w:val="00A22E1B"/>
    <w:rsid w:val="00A271F9"/>
    <w:rsid w:val="00A42039"/>
    <w:rsid w:val="00A44F48"/>
    <w:rsid w:val="00A5413B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34A8"/>
    <w:rsid w:val="00A9589E"/>
    <w:rsid w:val="00AA0144"/>
    <w:rsid w:val="00AA2A66"/>
    <w:rsid w:val="00AB2A03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26BE4"/>
    <w:rsid w:val="00B30FC3"/>
    <w:rsid w:val="00B429B5"/>
    <w:rsid w:val="00B448BB"/>
    <w:rsid w:val="00B51479"/>
    <w:rsid w:val="00B52C65"/>
    <w:rsid w:val="00B53093"/>
    <w:rsid w:val="00B64A54"/>
    <w:rsid w:val="00B74E05"/>
    <w:rsid w:val="00B7519D"/>
    <w:rsid w:val="00B92EF2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7BF0"/>
    <w:rsid w:val="00C53DB4"/>
    <w:rsid w:val="00C65A27"/>
    <w:rsid w:val="00C66995"/>
    <w:rsid w:val="00C67310"/>
    <w:rsid w:val="00C70937"/>
    <w:rsid w:val="00C77845"/>
    <w:rsid w:val="00C87F80"/>
    <w:rsid w:val="00C931E6"/>
    <w:rsid w:val="00C94126"/>
    <w:rsid w:val="00CA50EA"/>
    <w:rsid w:val="00CA6AF4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43851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6D90"/>
    <w:rsid w:val="00DD68AC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72ED"/>
    <w:rsid w:val="00EF1D20"/>
    <w:rsid w:val="00EF39DB"/>
    <w:rsid w:val="00EF5378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ovh/venom/tree/master/executors/exec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excellium-services.com/2021/05/18/security-txt/" TargetMode="External"/><Relationship Id="rId42" Type="http://schemas.openxmlformats.org/officeDocument/2006/relationships/hyperlink" Target="https://github.com/projectdiscovery/nuclei-templates/tree/master/default-logins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hyperlink" Target="https://www.atlassian.com/continuous-delivery/continuous-deploy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blog.christianposta.com/deploy/blue-green-deployments-a-b-testing-and-canary-releases/" TargetMode="External"/><Relationship Id="rId37" Type="http://schemas.openxmlformats.org/officeDocument/2006/relationships/hyperlink" Target="https://github.com/ovh/venom" TargetMode="External"/><Relationship Id="rId40" Type="http://schemas.openxmlformats.org/officeDocument/2006/relationships/hyperlink" Target="https://github.com/projectdiscovery/nuclei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integra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www.youtube.com/watch?v=i34Ihbuslgw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loud.google.com/blog/products/devops-sre/another-way-to-gauge-your-devops-performance-according-to-dora" TargetMode="External"/><Relationship Id="rId35" Type="http://schemas.openxmlformats.org/officeDocument/2006/relationships/hyperlink" Target="https://github.com/features/actions" TargetMode="Externa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ExcelliumSA/PostDeploymentSecurityCheck-Study/blob/main/validate.sh" TargetMode="External"/><Relationship Id="rId38" Type="http://schemas.openxmlformats.org/officeDocument/2006/relationships/hyperlink" Target="https://github.com/ExcelliumSA/PostDeploymentSecurityCheck-Study/blob/main/recipe.yml" TargetMode="Externa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nuclei.projectdiscovery.io/templa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12514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374</cp:revision>
  <dcterms:created xsi:type="dcterms:W3CDTF">2021-07-12T15:25:00Z</dcterms:created>
  <dcterms:modified xsi:type="dcterms:W3CDTF">2022-01-25T15:44:00Z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