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unsigned char estado = 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unsigned char cerrada = 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unsigned char abierta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unsigned char presencia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abrir(){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PORTC.B0=0;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PORTC.B1=1;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cerrar(){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PORTC.B1=0;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PORTC.B0=1;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parar(){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PORTC.B0=0;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PORTC.B1=0;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interrupt(){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if(PIR1.TMR1IF){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TMR1H=(15536&gt;&gt;8);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TMR1L=15536;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PIR1.TMR1IF=0;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cerrada = PORTB.B0;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abierta = PORTB.B1;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presencia = PORTB.B2;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if(estado==0){ // estado de puerta cerrada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if(presencia==1){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abrir();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estado=1;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if(estado==1){ // estado de puerta abriendose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if(abierta==1){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parar();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estado=2;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/*else if(presencia==0){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cerrar();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estado=3;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if(estado==2){ // estado de puerta abierta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(presencia==0){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cerrar();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estado=3;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if(estado==3){ // estado de puerta cerrandose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if(cerrada==1){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parar();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estado=0;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/*else if(presencia==1){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abrir();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estado=1;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TRISC.B0=0;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TRISC.B1=0;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TRISB.B0=1;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TRISB.B1=1;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TRISB.B2=1;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PORTC.B0=0;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PORTC.B1=0;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T1CON=0xA5;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TMR1H=(15536&gt;&gt;8);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TMR1L=15536;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PIR1.TMR1IF=0;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PIE1.TMR1IE=1;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INTCON.PEIE=1;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INTCON.GIE=1;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while(1)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asm nop;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