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 from Richard M. Nixon, President of the United States, to Sam J. Ervin, Jr., Chairman, Senate Select Committee on Presidential Campaign Activities, Pub. Papers 657-658 (Jul. 23, 1973).]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Dear Mr. Chairman:</w:t>
      </w: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considered your request that I permit the Committee to have access to tapes of my private conversations with a number of my closest aides. I have concluded that the principles stated in my letter to you of July 6th preclude me from complying with that request, and I shall not do so. Indeed the special nature of tape recordings of private conversa-</w:t>
      </w:r>
      <w:r w:rsidDel="00000000" w:rsidR="00000000" w:rsidRPr="00000000">
        <w:rPr>
          <w:rFonts w:ascii="Times New Roman" w:cs="Times New Roman" w:eastAsia="Times New Roman" w:hAnsi="Times New Roman"/>
          <w:b w:val="1"/>
          <w:i w:val="1"/>
          <w:sz w:val="24"/>
          <w:szCs w:val="24"/>
          <w:highlight w:val="yellow"/>
          <w:rtl w:val="0"/>
        </w:rPr>
        <w:t xml:space="preserve">*658</w:t>
      </w:r>
      <w:r w:rsidDel="00000000" w:rsidR="00000000" w:rsidRPr="00000000">
        <w:rPr>
          <w:rFonts w:ascii="Times New Roman" w:cs="Times New Roman" w:eastAsia="Times New Roman" w:hAnsi="Times New Roman"/>
          <w:sz w:val="24"/>
          <w:szCs w:val="24"/>
          <w:rtl w:val="0"/>
        </w:rPr>
        <w:t xml:space="preserve">-tions is such that these principles apply with even greater force to tapes of private Presidential conversations than to Presidential papers.</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release of the tapes would settle the central questions at issue in the Watergate inquiries, then their disclosure might serve a substantial public interest that would have to be weighed very heavily against the negatives of disclosure.</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is that the tapes would not finally settle the central issues before your Committee. Before their existence became publicly known, I personally listened to a number of them. The tapes are entirely consistent with what I know to be the truth and what I have stated to be the truth. However, as in any verbatim recording of informal conversations, they contain comments that persons with different perspectives and motivations would inevitably interpret in different ways. Furthermore, there are inseparably interspersed in them a great many very frank and very private comments, on a wide range of issues and individuals, wholly extraneous to the Committee's inquiry. Even more important, the tapes could be accurately understood or interpreted only by reference to an enormous number of other documents and tapes, so that to open them at all would begin an endless process of disclosure and explanation of private Presidential records totally unrelated to Watergate, and highly confidential in nature. They are the clearest possible example of why Presidential documents must be kept confidential.</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the tapes, which have been under my sole personal control, will remain so. None has been transcribed or made public and none will be.</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May 22nd I described my knowledge of the Watergate matter and its aftermath in categorical and unambiguous terms that I know to be true. In my letter of July 6th, I informed you that at an appropriate time during the hearings I intend to address publicly the subjects you are considering. I still intend to do so and in a way that preserves the Constitutional principle of separation of powers, and thus serves the interests not just of the Congress or of the President, but of the people.</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Sincerely,</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Nixon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