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Ronald Welch, Assistant Attorney General, to Chuck Grassley, Ranking Member, Committee on the Judiciary, United States Senate (Feb. 4, 2011), </w:t>
      </w:r>
      <w:r w:rsidDel="00000000" w:rsidR="00000000" w:rsidRPr="00000000">
        <w:rPr>
          <w:rFonts w:ascii="Times New Roman" w:cs="Times New Roman" w:eastAsia="Times New Roman" w:hAnsi="Times New Roman"/>
          <w:i w:val="1"/>
          <w:sz w:val="24"/>
          <w:szCs w:val="24"/>
          <w:rtl w:val="0"/>
        </w:rPr>
        <w:t xml:space="preserve">reprinted in </w:t>
      </w:r>
      <w:r w:rsidDel="00000000" w:rsidR="00000000" w:rsidRPr="00000000">
        <w:rPr>
          <w:rFonts w:ascii="Times New Roman" w:cs="Times New Roman" w:eastAsia="Times New Roman" w:hAnsi="Times New Roman"/>
          <w:sz w:val="24"/>
          <w:szCs w:val="24"/>
          <w:rtl w:val="0"/>
        </w:rPr>
        <w:t xml:space="preserve">Exhibit 1 to Committee Response to Motion to Dismiss, Comm. on Oversight and Government Reform v. Holder, No. 12-1332 (Nov. 21, 2012).]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 Department of Justice</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Legislative Affairs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the Assistant Attorney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Washington, D.C. </w:t>
            </w:r>
            <w:r w:rsidDel="00000000" w:rsidR="00000000" w:rsidRPr="00000000">
              <w:rPr>
                <w:rFonts w:ascii="Times New Roman" w:cs="Times New Roman" w:eastAsia="Times New Roman" w:hAnsi="Times New Roman"/>
                <w:sz w:val="24"/>
                <w:szCs w:val="24"/>
                <w:rtl w:val="0"/>
              </w:rPr>
              <w:t xml:space="preserve">20530</w:t>
            </w:r>
          </w:p>
        </w:tc>
      </w:tr>
    </w:tbl>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4, 2011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Honorable Charles E. Grassley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Minority Member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on the Judiciary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Senate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20510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Senator Grassley: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responds to your letters, dated January 27, 2011 and January 31, 2011, to Acting Director Kenneth Melson of the Department’s Bureau of Alcohol, Tobacco, Firearm, and Explosives (ATF), regarding Project Gunrunner. We appreciate your strong support for the Department’s law enforcement mission.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outset, the allegation described in your January 27 letter—that ATF “sanctioned” or otherwise knowingly allowed the sale of assault weapons to a straw purchaser who then transported them into Mexico—is false. ATF makes every effort to interdict weapons that have been purchased illegally and prevent their transportation with Mexico. Indeed, an important goal of Project Gunrunner is to stop the flow of weapons from the United States to drug cartels in Mexico. Since its inception in 2006, Project Gunrunner investigations have seized in excess of 10,000 firearms and 1.1 million rounds of ammunition destined for Mexico. Hundreds of individuals have been convicted of criminal offenses arising from these investigations and many others are on-going. ATF remains committed to investigating and dismantling firearms trafficking organizations, and will continue to pursue those cases vigorously with all available investigative resources.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vein, the suggestion that Project Gunrunner focuses simply on straw purchasers is incorrect. The defendants named in the indictments referenced in your January 27 letter include leaders of a sophisticated gun trafficking organization. One of the goals of the investigation that led to those indictments is to dismantle the entire trafficking organization, not merely to arrest straw purchasers.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want to assure you that ATF has made no attempt to retaliate against any of its agents regarding this matter. We recognize the importance of protecting employees from retaliation relating to their disclosures of waste, fraud, and abuse. ATF employees receive annual training on their rights under the Whistleblower Protection Act, and those with knowledge of waste, fraud, or abuse are encouraged to communicate directly with the </w:t>
      </w: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Department’s Office of Inspector General. These protections do not negate the Department’s legitimate interest in protecting confidential information about pending criminal investigations.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want to protect investigations and the law enforcement personnel who directly conduct them from inappropriate political interference. For this reason, we respectfully request that Committee staff not contact law enforcement personnel seeking information about pending criminal investigations, including the investigation into the death of Customs and Border Patrol Agent Brian Terry. Like you, we are deeply concerned by his murder, and we are actively investigating the matter. Please direct any inquiry into his killing to this office.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would be pleased to provide a briefing to Committee staff about Project Gunrunner and ATF’s efforts to work with its law enforcement partners to build cases that will disrupt and dismantle criminal organizations. That briefing would not address the on-going criminal investigation referenced in your letter. As you know, the Department has a long-standing policy against the disclosure of non-public information about pending criminal investigations, which protects the independence and effectiveness of our law enforcement efforts as well as the privacy and due process interests of individuals who may or may not ever be charged with criminal offenses.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that this information is helpful and look forward to briefing Committee staff about Project Gunrunner. Please do not hesitate to contact this office if we may provide additional assistance about this or any other matter.</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/s/Ronald Weich</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Ronald Weich</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Attorney General</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The Honorable Patrick J. Leahy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Chairman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