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805A9" w14:textId="77777777" w:rsidR="00724BF9" w:rsidRDefault="00463D39" w:rsidP="00B15982">
      <w:pPr>
        <w:jc w:val="both"/>
      </w:pPr>
      <w:r>
        <w:t>[</w:t>
      </w:r>
      <w:r w:rsidRPr="00463D39">
        <w:t xml:space="preserve">Letter from </w:t>
      </w:r>
      <w:proofErr w:type="spellStart"/>
      <w:r w:rsidRPr="00463D39">
        <w:t>Emmet</w:t>
      </w:r>
      <w:proofErr w:type="spellEnd"/>
      <w:r w:rsidRPr="00463D39">
        <w:t xml:space="preserve"> T. Flood, Special Counsel to the President, to William P. Barr, Attorney General, United States Department of Justice (Apr. 19, 2019).</w:t>
      </w:r>
      <w:r>
        <w:t>]</w:t>
      </w:r>
    </w:p>
    <w:p w14:paraId="2A8DE0B7" w14:textId="77777777" w:rsidR="00463D39" w:rsidRDefault="00463D39"/>
    <w:p w14:paraId="1FF2886D" w14:textId="77777777" w:rsidR="00463D39" w:rsidRDefault="00463D39" w:rsidP="00463D39">
      <w:pPr>
        <w:jc w:val="center"/>
      </w:pPr>
      <w:r>
        <w:rPr>
          <w:b/>
        </w:rPr>
        <w:t>THE WHITE HOUSE</w:t>
      </w:r>
    </w:p>
    <w:p w14:paraId="36687D10" w14:textId="77777777" w:rsidR="00463D39" w:rsidRDefault="00463D39" w:rsidP="00463D39">
      <w:pPr>
        <w:jc w:val="center"/>
      </w:pPr>
    </w:p>
    <w:p w14:paraId="6192A2E1" w14:textId="77777777" w:rsidR="00463D39" w:rsidRDefault="00463D39" w:rsidP="00463D39">
      <w:pPr>
        <w:jc w:val="center"/>
      </w:pPr>
      <w:r>
        <w:t>WASHINGTON</w:t>
      </w:r>
    </w:p>
    <w:p w14:paraId="517F8A4C" w14:textId="77777777" w:rsidR="00463D39" w:rsidRDefault="00463D39" w:rsidP="00463D39">
      <w:pPr>
        <w:jc w:val="center"/>
      </w:pPr>
    </w:p>
    <w:p w14:paraId="24E9696A" w14:textId="77777777" w:rsidR="00463D39" w:rsidRDefault="00463D39" w:rsidP="00463D39">
      <w:pPr>
        <w:jc w:val="center"/>
      </w:pPr>
    </w:p>
    <w:p w14:paraId="297DDF40" w14:textId="77777777" w:rsidR="00463D39" w:rsidRDefault="00463D39" w:rsidP="00463D39">
      <w:pPr>
        <w:jc w:val="center"/>
      </w:pPr>
      <w:r>
        <w:t>April 19, 2019</w:t>
      </w:r>
    </w:p>
    <w:p w14:paraId="5CEA68A0" w14:textId="77777777" w:rsidR="00463D39" w:rsidRDefault="00463D39" w:rsidP="00463D39">
      <w:pPr>
        <w:jc w:val="both"/>
      </w:pPr>
    </w:p>
    <w:p w14:paraId="27BC9BD1" w14:textId="77777777" w:rsidR="00463D39" w:rsidRDefault="00463D39" w:rsidP="00463D39">
      <w:pPr>
        <w:jc w:val="both"/>
      </w:pPr>
    </w:p>
    <w:p w14:paraId="09B264AA" w14:textId="77777777" w:rsidR="00463D39" w:rsidRDefault="00463D39" w:rsidP="00463D39">
      <w:pPr>
        <w:jc w:val="both"/>
      </w:pPr>
      <w:r>
        <w:rPr>
          <w:u w:val="single"/>
        </w:rPr>
        <w:t>Via Hand Delivery</w:t>
      </w:r>
    </w:p>
    <w:p w14:paraId="1BCC8907" w14:textId="77777777" w:rsidR="00463D39" w:rsidRDefault="00463D39" w:rsidP="00463D39">
      <w:pPr>
        <w:jc w:val="both"/>
      </w:pPr>
    </w:p>
    <w:p w14:paraId="10B19F06" w14:textId="77777777" w:rsidR="00463D39" w:rsidRDefault="00463D39" w:rsidP="00463D39">
      <w:pPr>
        <w:jc w:val="both"/>
      </w:pPr>
      <w:r>
        <w:t>The Honorable William P. Barr</w:t>
      </w:r>
    </w:p>
    <w:p w14:paraId="092E559E" w14:textId="77777777" w:rsidR="00463D39" w:rsidRDefault="00463D39" w:rsidP="00463D39">
      <w:pPr>
        <w:jc w:val="both"/>
      </w:pPr>
      <w:r>
        <w:t>Attorney General of the United States</w:t>
      </w:r>
    </w:p>
    <w:p w14:paraId="519736DC" w14:textId="77777777" w:rsidR="00463D39" w:rsidRDefault="00463D39" w:rsidP="00463D39">
      <w:pPr>
        <w:jc w:val="both"/>
      </w:pPr>
      <w:r>
        <w:t>United States Department of Justice</w:t>
      </w:r>
    </w:p>
    <w:p w14:paraId="3120730F" w14:textId="77777777" w:rsidR="00463D39" w:rsidRDefault="00463D39" w:rsidP="00463D39">
      <w:pPr>
        <w:jc w:val="both"/>
      </w:pPr>
      <w:proofErr w:type="gramStart"/>
      <w:r>
        <w:t>950 Pennsylvania Ave. N.W.</w:t>
      </w:r>
      <w:proofErr w:type="gramEnd"/>
    </w:p>
    <w:p w14:paraId="44EAD7D2" w14:textId="77777777" w:rsidR="00463D39" w:rsidRDefault="00463D39" w:rsidP="00463D39">
      <w:pPr>
        <w:jc w:val="both"/>
      </w:pPr>
      <w:r>
        <w:t>Washington D.C. 20530</w:t>
      </w:r>
    </w:p>
    <w:p w14:paraId="0066772C" w14:textId="77777777" w:rsidR="00463D39" w:rsidRDefault="00463D39" w:rsidP="00463D39">
      <w:pPr>
        <w:jc w:val="both"/>
      </w:pPr>
    </w:p>
    <w:p w14:paraId="75F68B54" w14:textId="77777777" w:rsidR="00463D39" w:rsidRDefault="00463D39" w:rsidP="00463D39">
      <w:pPr>
        <w:jc w:val="both"/>
      </w:pPr>
      <w:r>
        <w:t>Dear Mr. Attorney General:</w:t>
      </w:r>
    </w:p>
    <w:p w14:paraId="0E4C0623" w14:textId="77777777" w:rsidR="00463D39" w:rsidRDefault="00463D39" w:rsidP="00463D39">
      <w:pPr>
        <w:jc w:val="both"/>
      </w:pPr>
    </w:p>
    <w:p w14:paraId="15942EE1" w14:textId="77777777" w:rsidR="00463D39" w:rsidRDefault="00915947" w:rsidP="00463D39">
      <w:pPr>
        <w:jc w:val="both"/>
      </w:pPr>
      <w:r>
        <w:t>I write on behalf of the Office of the President to memorialize concerns relating to the form of the Special Counsel’s Office (“</w:t>
      </w:r>
      <w:proofErr w:type="spellStart"/>
      <w:r>
        <w:t>SCO</w:t>
      </w:r>
      <w:proofErr w:type="spellEnd"/>
      <w:r>
        <w:t>”) Report (“</w:t>
      </w:r>
      <w:proofErr w:type="spellStart"/>
      <w:r>
        <w:t>SCO</w:t>
      </w:r>
      <w:proofErr w:type="spellEnd"/>
      <w:r>
        <w:t xml:space="preserve"> Report” or “Report”) and to address executive privilege issues associated with its release.</w:t>
      </w:r>
    </w:p>
    <w:p w14:paraId="70D7301F" w14:textId="77777777" w:rsidR="00915947" w:rsidRDefault="00915947" w:rsidP="00463D39">
      <w:pPr>
        <w:jc w:val="both"/>
      </w:pPr>
    </w:p>
    <w:p w14:paraId="0A5E12EC" w14:textId="77777777" w:rsidR="00915947" w:rsidRDefault="00915947" w:rsidP="00463D39">
      <w:pPr>
        <w:jc w:val="both"/>
      </w:pPr>
      <w:r>
        <w:t xml:space="preserve">The </w:t>
      </w:r>
      <w:proofErr w:type="spellStart"/>
      <w:r>
        <w:t>SCO</w:t>
      </w:r>
      <w:proofErr w:type="spellEnd"/>
      <w:r>
        <w:t xml:space="preserve"> Report suffers from an extraordinary legal defect: It quite deliberately fails to comply with the requirements of governing law. Lest the Report’s release be taken as a “precedent” or perceived as somehow legitimating the defect, I write with both the President and future Presidents in mind to make the following points clear.</w:t>
      </w:r>
    </w:p>
    <w:p w14:paraId="09C771F1" w14:textId="77777777" w:rsidR="00260AEB" w:rsidRDefault="00260AEB" w:rsidP="00463D39">
      <w:pPr>
        <w:jc w:val="both"/>
      </w:pPr>
    </w:p>
    <w:p w14:paraId="436AD410" w14:textId="33EA6BC5" w:rsidR="00260AEB" w:rsidRDefault="00D724B8" w:rsidP="00463D39">
      <w:pPr>
        <w:jc w:val="both"/>
      </w:pPr>
      <w:r>
        <w:t xml:space="preserve">I begin with the </w:t>
      </w:r>
      <w:proofErr w:type="spellStart"/>
      <w:r>
        <w:t>SCO’s</w:t>
      </w:r>
      <w:proofErr w:type="spellEnd"/>
      <w:r>
        <w:t xml:space="preserve"> stated conclusion on the obstruction question: The </w:t>
      </w:r>
      <w:proofErr w:type="spellStart"/>
      <w:r>
        <w:t>SCO</w:t>
      </w:r>
      <w:proofErr w:type="spellEnd"/>
      <w:r>
        <w:t xml:space="preserve"> concluded that the evidence “prevent[</w:t>
      </w:r>
      <w:proofErr w:type="spellStart"/>
      <w:r>
        <w:t>ed</w:t>
      </w:r>
      <w:proofErr w:type="spellEnd"/>
      <w:r>
        <w:t xml:space="preserve">] [it] from conclusively determining that no criminal conduct occurred.” </w:t>
      </w:r>
      <w:proofErr w:type="spellStart"/>
      <w:proofErr w:type="gramStart"/>
      <w:r>
        <w:t>SCO</w:t>
      </w:r>
      <w:proofErr w:type="spellEnd"/>
      <w:r>
        <w:t xml:space="preserve"> Report v.2, p.2.</w:t>
      </w:r>
      <w:proofErr w:type="gramEnd"/>
      <w:r>
        <w:t xml:space="preserve"> But “conclusively determining that no criminal conduct occurred” was </w:t>
      </w:r>
      <w:r>
        <w:rPr>
          <w:i/>
        </w:rPr>
        <w:t>not</w:t>
      </w:r>
      <w:r>
        <w:t xml:space="preserve"> the </w:t>
      </w:r>
      <w:proofErr w:type="spellStart"/>
      <w:r>
        <w:t>SCO’s</w:t>
      </w:r>
      <w:proofErr w:type="spellEnd"/>
      <w:r>
        <w:t xml:space="preserve"> assigned task, because making conclusive determinations of innocence is </w:t>
      </w:r>
      <w:r>
        <w:rPr>
          <w:i/>
        </w:rPr>
        <w:t>never</w:t>
      </w:r>
      <w:r>
        <w:t xml:space="preserve"> the task of the federal prosecutor.</w:t>
      </w:r>
    </w:p>
    <w:p w14:paraId="54DB9314" w14:textId="77777777" w:rsidR="00D1653B" w:rsidRDefault="00D1653B" w:rsidP="00463D39">
      <w:pPr>
        <w:jc w:val="both"/>
      </w:pPr>
    </w:p>
    <w:p w14:paraId="06A6443B" w14:textId="40E53D4D" w:rsidR="00D1653B" w:rsidRDefault="00D1653B" w:rsidP="00463D39">
      <w:pPr>
        <w:jc w:val="both"/>
      </w:pPr>
      <w:r>
        <w:t xml:space="preserve">What prosecutors are supposed to do is complete an investigation and then either ask the grand jury to return an indictment or decline to charge the case. When prosecutors decline to charge, they make that decision not because they have “conclusively </w:t>
      </w:r>
      <w:proofErr w:type="spellStart"/>
      <w:r>
        <w:t>determin</w:t>
      </w:r>
      <w:proofErr w:type="spellEnd"/>
      <w:r>
        <w:t>[</w:t>
      </w:r>
      <w:proofErr w:type="spellStart"/>
      <w:r>
        <w:t>ed</w:t>
      </w:r>
      <w:proofErr w:type="spellEnd"/>
      <w:r>
        <w:t xml:space="preserve">] that no criminal conduct occurred,” but rather because they do not believe that the investigated conduct constitutes a crime for which all the elements can be proven to the satisfaction of a jury beyond a reasonable doubt. Prosecutors simply are not in the business of establishing </w:t>
      </w:r>
      <w:proofErr w:type="gramStart"/>
      <w:r>
        <w:t>innocence,</w:t>
      </w:r>
      <w:proofErr w:type="gramEnd"/>
      <w:r>
        <w:t xml:space="preserve"> any more than they are in the business of “exonerating” investigated persons. In the American justice system, innocence is presumed; there is never any </w:t>
      </w:r>
      <w:r>
        <w:rPr>
          <w:i/>
        </w:rPr>
        <w:t>need</w:t>
      </w:r>
      <w:r>
        <w:t xml:space="preserve"> for prosecutors to “conclusively determine” it. Nor is there any </w:t>
      </w:r>
      <w:r>
        <w:rPr>
          <w:i/>
        </w:rPr>
        <w:t>place</w:t>
      </w:r>
      <w:r>
        <w:t xml:space="preserve"> for such a determination. Our country would be a very </w:t>
      </w:r>
      <w:r>
        <w:lastRenderedPageBreak/>
        <w:t xml:space="preserve">different (and very dangerous) place if prosecutors applied the </w:t>
      </w:r>
      <w:proofErr w:type="spellStart"/>
      <w:r>
        <w:t>SCO</w:t>
      </w:r>
      <w:proofErr w:type="spellEnd"/>
      <w:r>
        <w:t xml:space="preserve"> standard and citizens were obliged to prove “conclusively . . . that no criminal conduct occurred.”</w:t>
      </w:r>
    </w:p>
    <w:p w14:paraId="546BF482" w14:textId="77777777" w:rsidR="00FD46C2" w:rsidRDefault="00FD46C2" w:rsidP="00463D39">
      <w:pPr>
        <w:jc w:val="both"/>
      </w:pPr>
    </w:p>
    <w:p w14:paraId="4C901191" w14:textId="70F8A720" w:rsidR="00FD46C2" w:rsidRDefault="000F4927" w:rsidP="00463D39">
      <w:pPr>
        <w:jc w:val="both"/>
      </w:pPr>
      <w:r>
        <w:t xml:space="preserve">Because they do not belong to our criminal justice vocabulary, the </w:t>
      </w:r>
      <w:proofErr w:type="spellStart"/>
      <w:r>
        <w:t>SCO’s</w:t>
      </w:r>
      <w:proofErr w:type="spellEnd"/>
      <w:r>
        <w:t xml:space="preserve"> inverted-proof-standard and “exoneration” statements can be understood only as </w:t>
      </w:r>
      <w:r>
        <w:rPr>
          <w:i/>
        </w:rPr>
        <w:t>political</w:t>
      </w:r>
      <w:r>
        <w:t xml:space="preserve"> statements, issuing from persons (federal prosecutors) who in our system of government are rightly expected </w:t>
      </w:r>
      <w:r>
        <w:rPr>
          <w:i/>
        </w:rPr>
        <w:t>never</w:t>
      </w:r>
      <w:r>
        <w:t xml:space="preserve"> </w:t>
      </w:r>
      <w:r>
        <w:rPr>
          <w:b/>
        </w:rPr>
        <w:t>[*2]</w:t>
      </w:r>
      <w:r>
        <w:t xml:space="preserve"> to be political in the performance of their duties. The inverted burden of proof knowingly embedded in the </w:t>
      </w:r>
      <w:proofErr w:type="spellStart"/>
      <w:r>
        <w:t>SCO’s</w:t>
      </w:r>
      <w:proofErr w:type="spellEnd"/>
      <w:r>
        <w:t xml:space="preserve"> conclusion shows that the Special Counsel and his staff failed in their duty to act as prosecutors </w:t>
      </w:r>
      <w:r>
        <w:rPr>
          <w:i/>
        </w:rPr>
        <w:t>and only as prosecutors</w:t>
      </w:r>
      <w:r>
        <w:t>.</w:t>
      </w:r>
    </w:p>
    <w:p w14:paraId="6CCA816B" w14:textId="77777777" w:rsidR="00BE26B7" w:rsidRDefault="00BE26B7" w:rsidP="00463D39">
      <w:pPr>
        <w:jc w:val="both"/>
      </w:pPr>
    </w:p>
    <w:p w14:paraId="2FD3CA0D" w14:textId="57A3998D" w:rsidR="00BE26B7" w:rsidRDefault="00BE26B7" w:rsidP="00463D39">
      <w:pPr>
        <w:jc w:val="both"/>
        <w:rPr>
          <w:rFonts w:cs="Times New Roman"/>
          <w:color w:val="000000"/>
        </w:rPr>
      </w:pPr>
      <w:r>
        <w:t xml:space="preserve">Second, and equally importantly: In closing its investigation, the </w:t>
      </w:r>
      <w:proofErr w:type="spellStart"/>
      <w:r>
        <w:t>SCO</w:t>
      </w:r>
      <w:proofErr w:type="spellEnd"/>
      <w:r>
        <w:t xml:space="preserve"> had only one job – to “provide the Attorney General with a confidential report explaining the prosecution or declination decisions reached by the Special Counsel.” </w:t>
      </w:r>
      <w:proofErr w:type="gramStart"/>
      <w:r>
        <w:t xml:space="preserve">28 </w:t>
      </w:r>
      <w:proofErr w:type="spellStart"/>
      <w:r>
        <w:t>C.F.R</w:t>
      </w:r>
      <w:proofErr w:type="spellEnd"/>
      <w:r>
        <w:t xml:space="preserve">. </w:t>
      </w:r>
      <w:r w:rsidR="00F856F2" w:rsidRPr="00F856F2">
        <w:rPr>
          <w:rFonts w:cs="Times New Roman"/>
          <w:color w:val="000000"/>
        </w:rPr>
        <w:t>§</w:t>
      </w:r>
      <w:r w:rsidR="00F856F2">
        <w:rPr>
          <w:rFonts w:cs="Times New Roman"/>
          <w:color w:val="000000"/>
        </w:rPr>
        <w:t xml:space="preserve"> </w:t>
      </w:r>
      <w:r w:rsidR="007B356E">
        <w:rPr>
          <w:rFonts w:cs="Times New Roman"/>
          <w:color w:val="000000"/>
        </w:rPr>
        <w:t>600.8(c)</w:t>
      </w:r>
      <w:r w:rsidR="002D0128">
        <w:rPr>
          <w:rFonts w:cs="Times New Roman"/>
          <w:color w:val="000000"/>
        </w:rPr>
        <w:t>.</w:t>
      </w:r>
      <w:proofErr w:type="gramEnd"/>
      <w:r w:rsidR="002D0128">
        <w:rPr>
          <w:rFonts w:cs="Times New Roman"/>
          <w:color w:val="000000"/>
        </w:rPr>
        <w:t xml:space="preserve"> Yet the one thing the </w:t>
      </w:r>
      <w:proofErr w:type="spellStart"/>
      <w:r w:rsidR="002D0128">
        <w:rPr>
          <w:rFonts w:cs="Times New Roman"/>
          <w:color w:val="000000"/>
        </w:rPr>
        <w:t>SCO</w:t>
      </w:r>
      <w:proofErr w:type="spellEnd"/>
      <w:r w:rsidR="002D0128">
        <w:rPr>
          <w:rFonts w:cs="Times New Roman"/>
          <w:color w:val="000000"/>
        </w:rPr>
        <w:t xml:space="preserve"> was obligated to do is the very thing the </w:t>
      </w:r>
      <w:proofErr w:type="spellStart"/>
      <w:r w:rsidR="002D0128">
        <w:rPr>
          <w:rFonts w:cs="Times New Roman"/>
          <w:color w:val="000000"/>
        </w:rPr>
        <w:t>SCO</w:t>
      </w:r>
      <w:proofErr w:type="spellEnd"/>
      <w:r w:rsidR="002D0128">
        <w:rPr>
          <w:rFonts w:cs="Times New Roman"/>
          <w:color w:val="000000"/>
        </w:rPr>
        <w:t xml:space="preserve"> – intentionally and unapologetically – refused to do. The </w:t>
      </w:r>
      <w:proofErr w:type="spellStart"/>
      <w:r w:rsidR="002D0128">
        <w:rPr>
          <w:rFonts w:cs="Times New Roman"/>
          <w:color w:val="000000"/>
        </w:rPr>
        <w:t>SCO</w:t>
      </w:r>
      <w:proofErr w:type="spellEnd"/>
      <w:r w:rsidR="002D0128">
        <w:rPr>
          <w:rFonts w:cs="Times New Roman"/>
          <w:color w:val="000000"/>
        </w:rPr>
        <w:t xml:space="preserve"> made neither a prosecution decision nor a declination decision on the obstruction question. Instead, it transmitted a 182-page discussion of raw evidentiary material combined with its own inconclusive observations on the arguable legal significance of the gathered content. As a result, </w:t>
      </w:r>
      <w:r w:rsidR="002D0128">
        <w:rPr>
          <w:rFonts w:cs="Times New Roman"/>
          <w:i/>
          <w:color w:val="000000"/>
        </w:rPr>
        <w:t>none</w:t>
      </w:r>
      <w:r w:rsidR="002D0128">
        <w:rPr>
          <w:rFonts w:cs="Times New Roman"/>
          <w:color w:val="000000"/>
        </w:rPr>
        <w:t xml:space="preserve"> of the Report’s Volume II complied with the obligation imposed by the governing regulation to “</w:t>
      </w:r>
      <w:proofErr w:type="gramStart"/>
      <w:r w:rsidR="002D0128">
        <w:rPr>
          <w:rFonts w:cs="Times New Roman"/>
          <w:color w:val="000000"/>
        </w:rPr>
        <w:t>explain[</w:t>
      </w:r>
      <w:proofErr w:type="gramEnd"/>
      <w:r w:rsidR="002D0128">
        <w:rPr>
          <w:rFonts w:cs="Times New Roman"/>
          <w:color w:val="000000"/>
        </w:rPr>
        <w:t xml:space="preserve">] the prosecution or declination decisions reached.” </w:t>
      </w:r>
      <w:r w:rsidR="002D0128">
        <w:rPr>
          <w:rFonts w:cs="Times New Roman"/>
          <w:i/>
          <w:color w:val="000000"/>
        </w:rPr>
        <w:t>Id</w:t>
      </w:r>
      <w:r w:rsidR="002D0128">
        <w:rPr>
          <w:rFonts w:cs="Times New Roman"/>
          <w:color w:val="000000"/>
        </w:rPr>
        <w:t>.</w:t>
      </w:r>
    </w:p>
    <w:p w14:paraId="5FC1E717" w14:textId="77777777" w:rsidR="00C4716B" w:rsidRDefault="00C4716B" w:rsidP="00463D39">
      <w:pPr>
        <w:jc w:val="both"/>
        <w:rPr>
          <w:rFonts w:cs="Times New Roman"/>
          <w:color w:val="000000"/>
        </w:rPr>
      </w:pPr>
    </w:p>
    <w:p w14:paraId="2CCB38FF" w14:textId="1369DDE9" w:rsidR="00C4716B" w:rsidRDefault="00C4716B" w:rsidP="00463D39">
      <w:pPr>
        <w:jc w:val="both"/>
        <w:rPr>
          <w:rFonts w:cs="Times New Roman"/>
          <w:color w:val="000000"/>
        </w:rPr>
      </w:pPr>
      <w:r>
        <w:rPr>
          <w:rFonts w:cs="Times New Roman"/>
          <w:color w:val="000000"/>
        </w:rPr>
        <w:t xml:space="preserve">The </w:t>
      </w:r>
      <w:proofErr w:type="spellStart"/>
      <w:r>
        <w:rPr>
          <w:rFonts w:cs="Times New Roman"/>
          <w:color w:val="000000"/>
        </w:rPr>
        <w:t>SCO</w:t>
      </w:r>
      <w:proofErr w:type="spellEnd"/>
      <w:r>
        <w:rPr>
          <w:rFonts w:cs="Times New Roman"/>
          <w:color w:val="000000"/>
        </w:rPr>
        <w:t xml:space="preserve"> instead produced a prosecutorial curiosity – part “truth commission” report and part law school exam paper. Far more detailed than the text of any known criminal indictment or declination memorandum, the Report is laden with factual information that has never been subjected to adversarial testing or independent analysis. That information is accompanied by a series of inexplicably inconclusive observations (inexplicable, that is, coming from a prosecutor) concerning possible applications of law to fact. This species of public report has no basis in the relevant regulation and no precedent in the history of special/independent counsel investigations.</w:t>
      </w:r>
    </w:p>
    <w:p w14:paraId="06B9727D" w14:textId="77777777" w:rsidR="00C4716B" w:rsidRDefault="00C4716B" w:rsidP="00463D39">
      <w:pPr>
        <w:jc w:val="both"/>
        <w:rPr>
          <w:rFonts w:cs="Times New Roman"/>
          <w:color w:val="000000"/>
        </w:rPr>
      </w:pPr>
    </w:p>
    <w:p w14:paraId="5F72E578" w14:textId="4BEEAD12" w:rsidR="00C4716B" w:rsidRDefault="00F911AD" w:rsidP="00463D39">
      <w:pPr>
        <w:jc w:val="both"/>
        <w:rPr>
          <w:rFonts w:cs="Times New Roman"/>
          <w:color w:val="000000"/>
        </w:rPr>
      </w:pPr>
      <w:r>
        <w:rPr>
          <w:rFonts w:cs="Times New Roman"/>
          <w:color w:val="000000"/>
        </w:rPr>
        <w:t xml:space="preserve">An investigation of the President under a regulation that clearly specifies a very particular form of closing documentation is not the place for indulging creative departures from governing law. Under general prosecutorial principles, and under the Special Counsel regulation’s specific language, prosecutors are to speak publicly through indictments or confidentially in declination memoranda. By way of justifying this departure, it has been suggested that the Report was written with the intent of providing Congress some kind of “road map” for congressional action. </w:t>
      </w:r>
      <w:r>
        <w:rPr>
          <w:rFonts w:cs="Times New Roman"/>
          <w:i/>
          <w:color w:val="000000"/>
        </w:rPr>
        <w:t>See, e.g.</w:t>
      </w:r>
      <w:r>
        <w:rPr>
          <w:rFonts w:cs="Times New Roman"/>
          <w:color w:val="000000"/>
        </w:rPr>
        <w:t>, Remarks of House Judiciary Committee Chairman Jerrold Nadler, 4/18/19 (Press Conference).</w:t>
      </w:r>
      <w:r>
        <w:rPr>
          <w:rStyle w:val="FootnoteReference"/>
          <w:rFonts w:cs="Times New Roman"/>
          <w:color w:val="000000"/>
        </w:rPr>
        <w:footnoteReference w:id="1"/>
      </w:r>
      <w:r>
        <w:rPr>
          <w:rFonts w:cs="Times New Roman"/>
          <w:color w:val="000000"/>
        </w:rPr>
        <w:t xml:space="preserve"> If that was in fact the </w:t>
      </w:r>
      <w:proofErr w:type="spellStart"/>
      <w:r>
        <w:rPr>
          <w:rFonts w:cs="Times New Roman"/>
          <w:color w:val="000000"/>
        </w:rPr>
        <w:t>SCO’s</w:t>
      </w:r>
      <w:proofErr w:type="spellEnd"/>
      <w:r>
        <w:rPr>
          <w:rFonts w:cs="Times New Roman"/>
          <w:color w:val="000000"/>
        </w:rPr>
        <w:t xml:space="preserve"> intention, it too serves as additional evidence of the </w:t>
      </w:r>
      <w:proofErr w:type="spellStart"/>
      <w:r>
        <w:rPr>
          <w:rFonts w:cs="Times New Roman"/>
          <w:color w:val="000000"/>
        </w:rPr>
        <w:t>SCO’s</w:t>
      </w:r>
      <w:proofErr w:type="spellEnd"/>
      <w:r>
        <w:rPr>
          <w:rFonts w:cs="Times New Roman"/>
          <w:color w:val="000000"/>
        </w:rPr>
        <w:t xml:space="preserve"> refusal to follow applicable law. Both the language of the regulation and its “legislative” history make plain that the “[</w:t>
      </w:r>
      <w:proofErr w:type="gramStart"/>
      <w:r>
        <w:rPr>
          <w:rFonts w:cs="Times New Roman"/>
          <w:color w:val="000000"/>
        </w:rPr>
        <w:t>c]losing</w:t>
      </w:r>
      <w:proofErr w:type="gramEnd"/>
      <w:r>
        <w:rPr>
          <w:rFonts w:cs="Times New Roman"/>
          <w:color w:val="000000"/>
        </w:rPr>
        <w:t xml:space="preserve"> documentation” language was promulgated for the specific </w:t>
      </w:r>
      <w:r>
        <w:rPr>
          <w:rFonts w:cs="Times New Roman"/>
          <w:b/>
          <w:color w:val="000000"/>
        </w:rPr>
        <w:t>[*3]</w:t>
      </w:r>
      <w:r>
        <w:rPr>
          <w:rFonts w:cs="Times New Roman"/>
          <w:color w:val="000000"/>
        </w:rPr>
        <w:t xml:space="preserve"> </w:t>
      </w:r>
      <w:r w:rsidR="00A67252">
        <w:rPr>
          <w:rFonts w:cs="Times New Roman"/>
          <w:color w:val="000000"/>
        </w:rPr>
        <w:t xml:space="preserve">purpose of </w:t>
      </w:r>
      <w:r w:rsidR="00A67252">
        <w:rPr>
          <w:rFonts w:cs="Times New Roman"/>
          <w:i/>
          <w:color w:val="000000"/>
        </w:rPr>
        <w:t>preventing</w:t>
      </w:r>
      <w:r w:rsidR="00A67252">
        <w:rPr>
          <w:rFonts w:cs="Times New Roman"/>
          <w:color w:val="000000"/>
        </w:rPr>
        <w:t xml:space="preserve"> the creation of this sort of final report.</w:t>
      </w:r>
      <w:r w:rsidR="00A67252">
        <w:rPr>
          <w:rStyle w:val="FootnoteReference"/>
          <w:rFonts w:cs="Times New Roman"/>
          <w:color w:val="000000"/>
        </w:rPr>
        <w:footnoteReference w:id="2"/>
      </w:r>
      <w:r w:rsidR="00A67252">
        <w:rPr>
          <w:rFonts w:cs="Times New Roman"/>
          <w:color w:val="000000"/>
        </w:rPr>
        <w:t xml:space="preserve"> Under a constitution of separated powers, inferior Article II officers should not be in the business of creating “road maps” for the purpose of transmitting them to Article I committees.</w:t>
      </w:r>
    </w:p>
    <w:p w14:paraId="37B12BF8" w14:textId="77777777" w:rsidR="001966F9" w:rsidRDefault="001966F9" w:rsidP="00463D39">
      <w:pPr>
        <w:jc w:val="both"/>
        <w:rPr>
          <w:rFonts w:cs="Times New Roman"/>
          <w:color w:val="000000"/>
        </w:rPr>
      </w:pPr>
    </w:p>
    <w:p w14:paraId="5166CF18" w14:textId="3FFB4E7F" w:rsidR="001966F9" w:rsidRDefault="001966F9" w:rsidP="00463D39">
      <w:pPr>
        <w:jc w:val="both"/>
        <w:rPr>
          <w:rFonts w:cs="Times New Roman"/>
          <w:color w:val="000000"/>
        </w:rPr>
      </w:pPr>
      <w:r>
        <w:rPr>
          <w:rFonts w:cs="Times New Roman"/>
          <w:color w:val="000000"/>
        </w:rPr>
        <w:t xml:space="preserve">With the release of the </w:t>
      </w:r>
      <w:proofErr w:type="spellStart"/>
      <w:r>
        <w:rPr>
          <w:rFonts w:cs="Times New Roman"/>
          <w:color w:val="000000"/>
        </w:rPr>
        <w:t>SCO</w:t>
      </w:r>
      <w:proofErr w:type="spellEnd"/>
      <w:r>
        <w:rPr>
          <w:rFonts w:cs="Times New Roman"/>
          <w:color w:val="000000"/>
        </w:rPr>
        <w:t xml:space="preserve"> Report, and despite all of the foregoing, the President has followed through on his consistent promise of transparency. He encouraged every White House staffer to cooperate fully with the </w:t>
      </w:r>
      <w:proofErr w:type="spellStart"/>
      <w:r>
        <w:rPr>
          <w:rFonts w:cs="Times New Roman"/>
          <w:color w:val="000000"/>
        </w:rPr>
        <w:t>SCO</w:t>
      </w:r>
      <w:proofErr w:type="spellEnd"/>
      <w:r>
        <w:rPr>
          <w:rFonts w:cs="Times New Roman"/>
          <w:color w:val="000000"/>
        </w:rPr>
        <w:t xml:space="preserve"> and, so far as we are aware, all have done so. Voluntary interviewees included the Counsel to the President, two Chiefs of Staff, the Press Secretary and numerous others. In addition, approximate 1.4 million pages of documents were provided to the </w:t>
      </w:r>
      <w:proofErr w:type="spellStart"/>
      <w:r>
        <w:rPr>
          <w:rFonts w:cs="Times New Roman"/>
          <w:color w:val="000000"/>
        </w:rPr>
        <w:t>SCO</w:t>
      </w:r>
      <w:proofErr w:type="spellEnd"/>
      <w:r>
        <w:rPr>
          <w:rFonts w:cs="Times New Roman"/>
          <w:color w:val="000000"/>
        </w:rPr>
        <w:t xml:space="preserve">. This voluntary cooperation was given on the understanding (reached with the </w:t>
      </w:r>
      <w:proofErr w:type="spellStart"/>
      <w:r>
        <w:rPr>
          <w:rFonts w:cs="Times New Roman"/>
          <w:color w:val="000000"/>
        </w:rPr>
        <w:t>SCO</w:t>
      </w:r>
      <w:proofErr w:type="spellEnd"/>
      <w:r>
        <w:rPr>
          <w:rFonts w:cs="Times New Roman"/>
          <w:color w:val="000000"/>
        </w:rPr>
        <w:t>) that information (</w:t>
      </w:r>
      <w:proofErr w:type="spellStart"/>
      <w:r>
        <w:rPr>
          <w:rFonts w:cs="Times New Roman"/>
          <w:color w:val="000000"/>
        </w:rPr>
        <w:t>i</w:t>
      </w:r>
      <w:proofErr w:type="spellEnd"/>
      <w:r>
        <w:rPr>
          <w:rFonts w:cs="Times New Roman"/>
          <w:color w:val="000000"/>
        </w:rPr>
        <w:t xml:space="preserve">) gathered directly from the White House or White House staffers and (ii) having to do with Presidential communications, White House deliberations, law enforcement information, and perhaps other matter may be subject to a potential claim of executive privilege and, for that reason, would be treated by the </w:t>
      </w:r>
      <w:proofErr w:type="spellStart"/>
      <w:r>
        <w:rPr>
          <w:rFonts w:cs="Times New Roman"/>
          <w:color w:val="000000"/>
        </w:rPr>
        <w:t>SCO</w:t>
      </w:r>
      <w:proofErr w:type="spellEnd"/>
      <w:r>
        <w:rPr>
          <w:rFonts w:cs="Times New Roman"/>
          <w:color w:val="000000"/>
        </w:rPr>
        <w:t xml:space="preserve"> as presumptively privileged. Volume II of the report contains a great deal of presumptively privileged information, largely in the form of references to, and descriptions of, White House staff interviews with the </w:t>
      </w:r>
      <w:proofErr w:type="spellStart"/>
      <w:r>
        <w:rPr>
          <w:rFonts w:cs="Times New Roman"/>
          <w:color w:val="000000"/>
        </w:rPr>
        <w:t>SCO</w:t>
      </w:r>
      <w:proofErr w:type="spellEnd"/>
      <w:r>
        <w:rPr>
          <w:rFonts w:cs="Times New Roman"/>
          <w:color w:val="000000"/>
        </w:rPr>
        <w:t>. It also includes reference to presumptively privileged documentary materials.</w:t>
      </w:r>
    </w:p>
    <w:p w14:paraId="1405DCFB" w14:textId="77777777" w:rsidR="001966F9" w:rsidRDefault="001966F9" w:rsidP="00463D39">
      <w:pPr>
        <w:jc w:val="both"/>
        <w:rPr>
          <w:rFonts w:cs="Times New Roman"/>
          <w:color w:val="000000"/>
        </w:rPr>
      </w:pPr>
    </w:p>
    <w:p w14:paraId="26FF294B" w14:textId="5ECDCDB9" w:rsidR="001966F9" w:rsidRDefault="00847F50" w:rsidP="00463D39">
      <w:pPr>
        <w:jc w:val="both"/>
        <w:rPr>
          <w:rFonts w:cs="Times New Roman"/>
          <w:color w:val="000000"/>
        </w:rPr>
      </w:pPr>
      <w:r>
        <w:rPr>
          <w:rFonts w:cs="Times New Roman"/>
          <w:color w:val="000000"/>
        </w:rPr>
        <w:t>The President is aware that, had he chosen to do so, he could have withheld such information on executive privilege grounds, basing such an assertion on the established principle that to permit release of such information might have a chilling effect on a President’ advisors, causing them to be less than fully frank in providing advice to a President. Notwithstanding his right to assert such a privilege, and with a measure of reluctance born of concern for future Presidents and their advisors, the President has in this instance elected not to assert executive privilege over any of the presumptively privileged portions of the report. As a consequence, not a single redaction in the Report was done on the advice of or at the direction of the White House.</w:t>
      </w:r>
    </w:p>
    <w:p w14:paraId="4750C0A6" w14:textId="77777777" w:rsidR="008A1488" w:rsidRDefault="008A1488" w:rsidP="00463D39">
      <w:pPr>
        <w:jc w:val="both"/>
        <w:rPr>
          <w:rFonts w:cs="Times New Roman"/>
          <w:color w:val="000000"/>
        </w:rPr>
      </w:pPr>
    </w:p>
    <w:p w14:paraId="7FFB7139" w14:textId="3B0ED57C" w:rsidR="008A1488" w:rsidRDefault="008A1488" w:rsidP="00463D39">
      <w:pPr>
        <w:jc w:val="both"/>
        <w:rPr>
          <w:rFonts w:cs="Times New Roman"/>
          <w:color w:val="000000"/>
        </w:rPr>
      </w:pPr>
      <w:r>
        <w:rPr>
          <w:rFonts w:cs="Times New Roman"/>
          <w:color w:val="000000"/>
        </w:rPr>
        <w:t>The President therefore wants the following features of his decision to be known and understood:</w:t>
      </w:r>
    </w:p>
    <w:p w14:paraId="736D16C1" w14:textId="77777777" w:rsidR="008A1488" w:rsidRDefault="008A1488" w:rsidP="00463D39">
      <w:pPr>
        <w:jc w:val="both"/>
        <w:rPr>
          <w:rFonts w:cs="Times New Roman"/>
          <w:color w:val="000000"/>
        </w:rPr>
      </w:pPr>
    </w:p>
    <w:p w14:paraId="4320DB20" w14:textId="57309252" w:rsidR="008A1488" w:rsidRDefault="00775E70" w:rsidP="00775E70">
      <w:pPr>
        <w:pStyle w:val="ListParagraph"/>
        <w:numPr>
          <w:ilvl w:val="0"/>
          <w:numId w:val="3"/>
        </w:numPr>
        <w:jc w:val="both"/>
      </w:pPr>
      <w:r>
        <w:t>His decision not to assert privilege is not a waiver of executive privilege for any other material or for any other purpose;</w:t>
      </w:r>
    </w:p>
    <w:p w14:paraId="52C89174" w14:textId="77777777" w:rsidR="00A355E7" w:rsidRDefault="00A355E7" w:rsidP="00A355E7">
      <w:pPr>
        <w:jc w:val="both"/>
      </w:pPr>
    </w:p>
    <w:p w14:paraId="73211507" w14:textId="194D7F6A" w:rsidR="00775E70" w:rsidRDefault="00775E70" w:rsidP="00775E70">
      <w:pPr>
        <w:pStyle w:val="ListParagraph"/>
        <w:numPr>
          <w:ilvl w:val="0"/>
          <w:numId w:val="3"/>
        </w:numPr>
        <w:jc w:val="both"/>
      </w:pPr>
      <w:r>
        <w:t xml:space="preserve">His decision to permit disclosure of executive-privileged portions of the report does not waive any privileges or protections for the </w:t>
      </w:r>
      <w:proofErr w:type="spellStart"/>
      <w:r>
        <w:t>SCO’s</w:t>
      </w:r>
      <w:proofErr w:type="spellEnd"/>
      <w:r>
        <w:t xml:space="preserve"> underlying investigative </w:t>
      </w:r>
      <w:r>
        <w:rPr>
          <w:b/>
        </w:rPr>
        <w:t>[*4]</w:t>
      </w:r>
      <w:r>
        <w:t xml:space="preserve"> materials such as, for example, FBI Form 302 witness interview summaries and presumptively privileged documents made available to the </w:t>
      </w:r>
      <w:proofErr w:type="spellStart"/>
      <w:r>
        <w:t>SCO</w:t>
      </w:r>
      <w:proofErr w:type="spellEnd"/>
      <w:r>
        <w:t xml:space="preserve"> by the White House.</w:t>
      </w:r>
    </w:p>
    <w:p w14:paraId="1B1E45CD" w14:textId="77777777" w:rsidR="00A355E7" w:rsidRDefault="00A355E7" w:rsidP="00A355E7">
      <w:pPr>
        <w:jc w:val="both"/>
      </w:pPr>
    </w:p>
    <w:p w14:paraId="73FF041B" w14:textId="12AB7520" w:rsidR="00775E70" w:rsidRDefault="00775E70" w:rsidP="00775E70">
      <w:pPr>
        <w:pStyle w:val="ListParagraph"/>
        <w:numPr>
          <w:ilvl w:val="0"/>
          <w:numId w:val="3"/>
        </w:numPr>
        <w:jc w:val="both"/>
      </w:pPr>
      <w:r>
        <w:t>His decision does not affect his ability as President to instruct his advisors to decline to appear before congressional committees to answer questions on these same subjects. It is one thing for a President to encourage complete cooperation and transparency in a criminal investigation conducted largely within the Executive Branch; it is something else entirely to allow his advisors to appear before Congress, a coordinate branch of government, and answer questions relating to their communications with the President and with each other. The former course reflected the President’s recognition of the importance of promoting cooperation with a criminal investigation. The latter course creates profound separation of powers concerns and – if not defended aggressively – threatens to undermine the integrity of Executive Branch deliberations. The President is determined to protect from congressional scrutiny not only the advice rendered by his own advisors, but also by advisors to future Presidents.</w:t>
      </w:r>
    </w:p>
    <w:p w14:paraId="37919EE4" w14:textId="77777777" w:rsidR="00A355E7" w:rsidRDefault="00A355E7" w:rsidP="00A355E7">
      <w:pPr>
        <w:jc w:val="both"/>
      </w:pPr>
    </w:p>
    <w:p w14:paraId="2628ABBC" w14:textId="5C2AFB14" w:rsidR="00A355E7" w:rsidRDefault="00033137" w:rsidP="00A355E7">
      <w:pPr>
        <w:jc w:val="both"/>
      </w:pPr>
      <w:r>
        <w:t>A great deal is said these days about the rule of law and the importance of legal norms. In that spirit, and mindful of the frenzied atmosphere accompanying the Report’s release, the following should not be forgotten. Government officials, with access to classified information derived form a counterintelligence investigation and from classified intelligence intercepts, engaged in a campaign of illegal leaks against the President. Many of those leaks were felonies. They disclosed the identity of a U.S. person in violation of his civil rights; they misu</w:t>
      </w:r>
      <w:r w:rsidR="00207E1D">
        <w:t>s</w:t>
      </w:r>
      <w:r>
        <w:t xml:space="preserve">ed intelligence for partisan political purposes; and they eroded public confidence in the integrity and impartiality of our intelligence services. The criminal investigation began with a breach of confidentiality executed by a very senior administration official </w:t>
      </w:r>
      <w:proofErr w:type="gramStart"/>
      <w:r>
        <w:t>who</w:t>
      </w:r>
      <w:proofErr w:type="gramEnd"/>
      <w:r>
        <w:t xml:space="preserve"> was himself an intelligence service chief.</w:t>
      </w:r>
      <w:r w:rsidR="00806EB5">
        <w:t xml:space="preserve"> </w:t>
      </w:r>
      <w:r w:rsidR="006545E3">
        <w:t xml:space="preserve">This leak of confidential information, personally directed by the former Director of the FBI, triggered the creation of the </w:t>
      </w:r>
      <w:proofErr w:type="spellStart"/>
      <w:r w:rsidR="006545E3">
        <w:t>SCO</w:t>
      </w:r>
      <w:proofErr w:type="spellEnd"/>
      <w:r w:rsidR="006545E3">
        <w:t xml:space="preserve"> itself – precisely as he intended it to do.</w:t>
      </w:r>
    </w:p>
    <w:p w14:paraId="57BC4382" w14:textId="77777777" w:rsidR="00C71F95" w:rsidRDefault="00C71F95" w:rsidP="00A355E7">
      <w:pPr>
        <w:jc w:val="both"/>
      </w:pPr>
    </w:p>
    <w:p w14:paraId="6C76B056" w14:textId="29FD9262" w:rsidR="00C71F95" w:rsidRDefault="00C71F95" w:rsidP="00A355E7">
      <w:pPr>
        <w:jc w:val="both"/>
      </w:pPr>
      <w:r>
        <w:t xml:space="preserve">Not so long ago, the idea that a law enforcement official might provide the press with confidential governmental information for the proclaimed purpose of promoting a criminal investigation of an identified individual would have troubled Americans of all political </w:t>
      </w:r>
      <w:r w:rsidR="003F037E">
        <w:t>persuasions</w:t>
      </w:r>
      <w:r>
        <w:t xml:space="preserve">. That the head of our country’s top law enforcement agency has actually done so to the President of the United States should frighten every friend of individual liberty. </w:t>
      </w:r>
      <w:r w:rsidR="00881BB5">
        <w:t>Under our system of government, unelected Executive Branch officers and intelligence agency personnel are supposed to answer to the person elected by the people – the President – and not the other way around. This is not a Democratic or a Repu</w:t>
      </w:r>
      <w:r w:rsidR="00656614">
        <w:t xml:space="preserve">blican issue; it is a matter of having a government responsible to the people – and, again, not the other way around. In the partisan commotion surrounding the released Report, it would be well to remember that what </w:t>
      </w:r>
      <w:proofErr w:type="gramStart"/>
      <w:r w:rsidR="00656614">
        <w:t>can</w:t>
      </w:r>
      <w:proofErr w:type="gramEnd"/>
      <w:r w:rsidR="00656614">
        <w:t xml:space="preserve"> be done to a President can be done to any of us.</w:t>
      </w:r>
    </w:p>
    <w:p w14:paraId="2B3AC616" w14:textId="77777777" w:rsidR="00656614" w:rsidRDefault="00656614" w:rsidP="00A355E7">
      <w:pPr>
        <w:jc w:val="both"/>
      </w:pPr>
    </w:p>
    <w:p w14:paraId="63859370" w14:textId="5C98AA42" w:rsidR="00656614" w:rsidRDefault="00656614" w:rsidP="00A355E7">
      <w:pPr>
        <w:jc w:val="both"/>
      </w:pPr>
      <w:r>
        <w:t xml:space="preserve">These leaks and this investigation also caused immense and continuing interference with the functioning </w:t>
      </w:r>
      <w:r w:rsidR="002C38B1">
        <w:t xml:space="preserve">of the Executive Branch. Our constitution makes the President the sole </w:t>
      </w:r>
      <w:r w:rsidR="002C38B1">
        <w:rPr>
          <w:b/>
        </w:rPr>
        <w:t>[*5]</w:t>
      </w:r>
      <w:r w:rsidR="00451F5A">
        <w:t xml:space="preserve"> constitutional officer “for whom the entire Nation votes, and [who] represent[s] the entire nation both domestically and ab</w:t>
      </w:r>
      <w:r w:rsidR="00DF02BC">
        <w:t>r</w:t>
      </w:r>
      <w:r w:rsidR="00451F5A">
        <w:t xml:space="preserve">oad.” </w:t>
      </w:r>
      <w:r w:rsidR="00451F5A">
        <w:rPr>
          <w:i/>
        </w:rPr>
        <w:t>Clinton v. Jones</w:t>
      </w:r>
      <w:r w:rsidR="00451F5A">
        <w:t>, 520 U.S. 681, 771 (1997) (</w:t>
      </w:r>
      <w:proofErr w:type="spellStart"/>
      <w:r w:rsidR="00451F5A">
        <w:t>Breyer</w:t>
      </w:r>
      <w:proofErr w:type="spellEnd"/>
      <w:r w:rsidR="00451F5A">
        <w:t>, J., concurring). As a result, “[</w:t>
      </w:r>
      <w:proofErr w:type="spellStart"/>
      <w:proofErr w:type="gramStart"/>
      <w:r w:rsidR="00451F5A">
        <w:t>i</w:t>
      </w:r>
      <w:proofErr w:type="spellEnd"/>
      <w:r w:rsidR="00451F5A">
        <w:t>]</w:t>
      </w:r>
      <w:proofErr w:type="spellStart"/>
      <w:r w:rsidR="00451F5A">
        <w:t>nterference</w:t>
      </w:r>
      <w:proofErr w:type="spellEnd"/>
      <w:proofErr w:type="gramEnd"/>
      <w:r w:rsidR="00451F5A">
        <w:t xml:space="preserve"> with a President’s ability to carry out his public responsibilities is constitutionally equivalent to interference with the ability of the entirety of Congress, or the Judicial Branch, to carry out its public obligations.” </w:t>
      </w:r>
      <w:proofErr w:type="gramStart"/>
      <w:r w:rsidR="00451F5A">
        <w:rPr>
          <w:i/>
        </w:rPr>
        <w:t>Id</w:t>
      </w:r>
      <w:r w:rsidR="00451F5A">
        <w:t>. at 713.</w:t>
      </w:r>
      <w:proofErr w:type="gramEnd"/>
      <w:r w:rsidR="00451F5A">
        <w:t xml:space="preserve"> It is inarguable that the now-resolved allegation of “Russian collusion placed a cloud over the Presidency that has only begun to life in recent weeks. The pendency of the </w:t>
      </w:r>
      <w:proofErr w:type="spellStart"/>
      <w:r w:rsidR="00451F5A">
        <w:t>SCO</w:t>
      </w:r>
      <w:proofErr w:type="spellEnd"/>
      <w:r w:rsidR="00451F5A">
        <w:t xml:space="preserve"> investigation plainly interfered with the President’s ability to carry out his public responsibility to serve the American people and to govern effectively. These very public and widely felt consequences flowed from, and were fueled by, improper disclosures by senior government officials with access to classified information. That this continues to go largely unremarked should worry all civil libertarians, all supporters of investigative due process, and all believers in limited and effective government under the Constitution.</w:t>
      </w:r>
    </w:p>
    <w:p w14:paraId="5661284E" w14:textId="77777777" w:rsidR="00451F5A" w:rsidRDefault="00451F5A" w:rsidP="00A355E7">
      <w:pPr>
        <w:jc w:val="both"/>
      </w:pPr>
    </w:p>
    <w:p w14:paraId="7F49977C" w14:textId="56D2C7E1" w:rsidR="00451F5A" w:rsidRDefault="00451F5A" w:rsidP="00A355E7">
      <w:pPr>
        <w:jc w:val="both"/>
      </w:pPr>
      <w:r>
        <w:t xml:space="preserve">I respectfully ask you to include a copy of this letter in the Department’s records relating to the </w:t>
      </w:r>
      <w:proofErr w:type="spellStart"/>
      <w:r>
        <w:t>SCO</w:t>
      </w:r>
      <w:proofErr w:type="spellEnd"/>
      <w:r>
        <w:t xml:space="preserve"> investigation.</w:t>
      </w:r>
    </w:p>
    <w:p w14:paraId="7AC79CAE" w14:textId="77777777" w:rsidR="00451F5A" w:rsidRDefault="00451F5A" w:rsidP="00A355E7">
      <w:pPr>
        <w:jc w:val="both"/>
      </w:pPr>
    </w:p>
    <w:p w14:paraId="6F4AE890" w14:textId="77777777" w:rsidR="00451F5A" w:rsidRDefault="00451F5A" w:rsidP="00A355E7">
      <w:pPr>
        <w:jc w:val="both"/>
      </w:pPr>
    </w:p>
    <w:p w14:paraId="27C8D6BF" w14:textId="4CAB0AAD" w:rsidR="00451F5A" w:rsidRDefault="00451F5A" w:rsidP="00A355E7">
      <w:pPr>
        <w:jc w:val="both"/>
      </w:pPr>
      <w:r>
        <w:t>Sincerely,</w:t>
      </w:r>
    </w:p>
    <w:p w14:paraId="5EE32FBB" w14:textId="77777777" w:rsidR="00451F5A" w:rsidRDefault="00451F5A" w:rsidP="00A355E7">
      <w:pPr>
        <w:jc w:val="both"/>
      </w:pPr>
    </w:p>
    <w:p w14:paraId="58C55E58" w14:textId="60789A26" w:rsidR="00451F5A" w:rsidRDefault="00451F5A" w:rsidP="00A355E7">
      <w:pPr>
        <w:jc w:val="both"/>
      </w:pPr>
      <w:bookmarkStart w:id="0" w:name="_GoBack"/>
      <w:r>
        <w:t>/s/</w:t>
      </w:r>
      <w:proofErr w:type="spellStart"/>
      <w:r>
        <w:t>Emmet</w:t>
      </w:r>
      <w:proofErr w:type="spellEnd"/>
      <w:r>
        <w:t xml:space="preserve"> T. Flood</w:t>
      </w:r>
    </w:p>
    <w:p w14:paraId="26C14B75" w14:textId="0DBE8B0F" w:rsidR="00451F5A" w:rsidRDefault="00451F5A" w:rsidP="00A355E7">
      <w:pPr>
        <w:jc w:val="both"/>
      </w:pPr>
      <w:proofErr w:type="spellStart"/>
      <w:r>
        <w:t>Emmet</w:t>
      </w:r>
      <w:proofErr w:type="spellEnd"/>
      <w:r>
        <w:t xml:space="preserve"> T. Flood</w:t>
      </w:r>
    </w:p>
    <w:p w14:paraId="65A23B02" w14:textId="1BBEB902" w:rsidR="00691EFC" w:rsidRPr="00691EFC" w:rsidRDefault="00691EFC" w:rsidP="00A355E7">
      <w:pPr>
        <w:jc w:val="both"/>
      </w:pPr>
      <w:r>
        <w:rPr>
          <w:i/>
        </w:rPr>
        <w:t>Special Counsel to the President</w:t>
      </w:r>
      <w:bookmarkEnd w:id="0"/>
    </w:p>
    <w:sectPr w:rsidR="00691EFC" w:rsidRPr="00691EFC" w:rsidSect="007E05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033E1" w14:textId="77777777" w:rsidR="00F911AD" w:rsidRDefault="00F911AD" w:rsidP="00F911AD">
      <w:r>
        <w:separator/>
      </w:r>
    </w:p>
  </w:endnote>
  <w:endnote w:type="continuationSeparator" w:id="0">
    <w:p w14:paraId="5B0BC167" w14:textId="77777777" w:rsidR="00F911AD" w:rsidRDefault="00F911AD" w:rsidP="00F9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277A9" w14:textId="54B590C7" w:rsidR="007E05A9" w:rsidRPr="00987A27" w:rsidRDefault="00987A27" w:rsidP="007E05A9">
    <w:pPr>
      <w:pStyle w:val="Footer"/>
      <w:jc w:val="center"/>
      <w:rPr>
        <w:b/>
      </w:rPr>
    </w:pPr>
    <w:r w:rsidRPr="00987A27">
      <w:rPr>
        <w:rStyle w:val="PageNumber"/>
        <w:b/>
      </w:rPr>
      <w:fldChar w:fldCharType="begin"/>
    </w:r>
    <w:r w:rsidRPr="00987A27">
      <w:rPr>
        <w:rStyle w:val="PageNumber"/>
        <w:b/>
      </w:rPr>
      <w:instrText xml:space="preserve"> PAGE </w:instrText>
    </w:r>
    <w:r w:rsidRPr="00987A27">
      <w:rPr>
        <w:rStyle w:val="PageNumber"/>
        <w:b/>
      </w:rPr>
      <w:fldChar w:fldCharType="separate"/>
    </w:r>
    <w:r w:rsidR="003F037E">
      <w:rPr>
        <w:rStyle w:val="PageNumber"/>
        <w:b/>
        <w:noProof/>
      </w:rPr>
      <w:t>5</w:t>
    </w:r>
    <w:r w:rsidRPr="00987A27">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91C53" w14:textId="77777777" w:rsidR="00F911AD" w:rsidRDefault="00F911AD" w:rsidP="00F911AD">
      <w:r>
        <w:separator/>
      </w:r>
    </w:p>
  </w:footnote>
  <w:footnote w:type="continuationSeparator" w:id="0">
    <w:p w14:paraId="7E7BE543" w14:textId="77777777" w:rsidR="00F911AD" w:rsidRDefault="00F911AD" w:rsidP="00F911AD">
      <w:r>
        <w:continuationSeparator/>
      </w:r>
    </w:p>
  </w:footnote>
  <w:footnote w:id="1">
    <w:p w14:paraId="1DAE9ECA" w14:textId="447E39F6" w:rsidR="00F911AD" w:rsidRPr="006B1F36" w:rsidRDefault="00F911AD" w:rsidP="00A67252">
      <w:pPr>
        <w:pStyle w:val="FootnoteText"/>
        <w:jc w:val="both"/>
        <w:rPr>
          <w:sz w:val="20"/>
          <w:szCs w:val="20"/>
        </w:rPr>
      </w:pPr>
      <w:r w:rsidRPr="006B1F36">
        <w:rPr>
          <w:rStyle w:val="FootnoteReference"/>
          <w:sz w:val="20"/>
          <w:szCs w:val="20"/>
        </w:rPr>
        <w:footnoteRef/>
      </w:r>
      <w:r w:rsidRPr="006B1F36">
        <w:rPr>
          <w:sz w:val="20"/>
          <w:szCs w:val="20"/>
        </w:rPr>
        <w:t xml:space="preserve"> </w:t>
      </w:r>
      <w:r w:rsidR="00852650" w:rsidRPr="006B1F36">
        <w:rPr>
          <w:sz w:val="20"/>
          <w:szCs w:val="20"/>
        </w:rPr>
        <w:t xml:space="preserve">Some commentators have pointed to the so-called Watergate “Road Map” as precedent for giving Congress a prosecutor’s report containing no legal conclusions. That “Road Map” is shrouded in a bodyguard of myths, and the many separation of powers problems presented by its transmission remain largely unexplored. But the idea that it was a straightforward, just-the-facts type summary is easily dispelled. As two top Watergate prosecutors wrote years after the events of 1973-74, the Watergate Task Force created the “road map [to] serve as a do-it-yourself kit for the Judiciary Committee, helping it reassemble the individual pieces of grand-jury testimony and other evidence </w:t>
      </w:r>
      <w:r w:rsidR="00852650" w:rsidRPr="006B1F36">
        <w:rPr>
          <w:i/>
          <w:sz w:val="20"/>
          <w:szCs w:val="20"/>
        </w:rPr>
        <w:t>into a coherent theory of a criminal case</w:t>
      </w:r>
      <w:r w:rsidR="00852650" w:rsidRPr="006B1F36">
        <w:rPr>
          <w:sz w:val="20"/>
          <w:szCs w:val="20"/>
        </w:rPr>
        <w:t xml:space="preserve"> as we and the [grand] jury saw it.” </w:t>
      </w:r>
      <w:proofErr w:type="gramStart"/>
      <w:r w:rsidR="00852650" w:rsidRPr="006B1F36">
        <w:rPr>
          <w:sz w:val="20"/>
          <w:szCs w:val="20"/>
        </w:rPr>
        <w:t>Ben-</w:t>
      </w:r>
      <w:proofErr w:type="spellStart"/>
      <w:r w:rsidR="00852650" w:rsidRPr="006B1F36">
        <w:rPr>
          <w:sz w:val="20"/>
          <w:szCs w:val="20"/>
        </w:rPr>
        <w:t>Veniste</w:t>
      </w:r>
      <w:proofErr w:type="spellEnd"/>
      <w:r w:rsidR="00852650" w:rsidRPr="006B1F36">
        <w:rPr>
          <w:sz w:val="20"/>
          <w:szCs w:val="20"/>
        </w:rPr>
        <w:t xml:space="preserve"> &amp; Frampton, </w:t>
      </w:r>
      <w:r w:rsidR="00852650" w:rsidRPr="006B1F36">
        <w:rPr>
          <w:i/>
          <w:sz w:val="20"/>
          <w:szCs w:val="20"/>
        </w:rPr>
        <w:t>Stonewall: The Real Story of the Watergate Prosecution</w:t>
      </w:r>
      <w:r w:rsidR="00852650" w:rsidRPr="006B1F36">
        <w:rPr>
          <w:sz w:val="20"/>
          <w:szCs w:val="20"/>
        </w:rPr>
        <w:t xml:space="preserve"> 242-43 (1977) (emphasis added).</w:t>
      </w:r>
      <w:proofErr w:type="gramEnd"/>
    </w:p>
  </w:footnote>
  <w:footnote w:id="2">
    <w:p w14:paraId="16C9BC49" w14:textId="31B6C3EE" w:rsidR="00A67252" w:rsidRPr="006B1F36" w:rsidRDefault="00A67252" w:rsidP="00A67252">
      <w:pPr>
        <w:pStyle w:val="FootnoteText"/>
        <w:jc w:val="both"/>
        <w:rPr>
          <w:sz w:val="20"/>
          <w:szCs w:val="20"/>
        </w:rPr>
      </w:pPr>
      <w:r w:rsidRPr="006B1F36">
        <w:rPr>
          <w:rStyle w:val="FootnoteReference"/>
          <w:sz w:val="20"/>
          <w:szCs w:val="20"/>
        </w:rPr>
        <w:footnoteRef/>
      </w:r>
      <w:r w:rsidRPr="006B1F36">
        <w:rPr>
          <w:sz w:val="20"/>
          <w:szCs w:val="20"/>
        </w:rPr>
        <w:t xml:space="preserve"> At the time of the Special Counsel regulations’ creation in 1999, it was widely understood that Section 600.8(c) was not intended to provide for “a report which discusses the evidence at length,” much less its public dissemination. </w:t>
      </w:r>
      <w:r w:rsidRPr="006B1F36">
        <w:rPr>
          <w:i/>
          <w:sz w:val="20"/>
          <w:szCs w:val="20"/>
        </w:rPr>
        <w:t>The Future of the Independent Counsel Act: Hearings before the S. Comm. on Governmental Affairs</w:t>
      </w:r>
      <w:r w:rsidRPr="006B1F36">
        <w:rPr>
          <w:sz w:val="20"/>
          <w:szCs w:val="20"/>
        </w:rPr>
        <w:t xml:space="preserve">, 106th Cong. 236 (1999) (letter from Robert B. Fiske, Jr.); </w:t>
      </w:r>
      <w:r w:rsidRPr="006B1F36">
        <w:rPr>
          <w:i/>
          <w:sz w:val="20"/>
          <w:szCs w:val="20"/>
        </w:rPr>
        <w:t>see also id</w:t>
      </w:r>
      <w:r w:rsidRPr="006B1F36">
        <w:rPr>
          <w:sz w:val="20"/>
          <w:szCs w:val="20"/>
        </w:rPr>
        <w:t xml:space="preserve">. </w:t>
      </w:r>
      <w:proofErr w:type="gramStart"/>
      <w:r w:rsidRPr="006B1F36">
        <w:rPr>
          <w:sz w:val="20"/>
          <w:szCs w:val="20"/>
        </w:rPr>
        <w:t>at</w:t>
      </w:r>
      <w:proofErr w:type="gramEnd"/>
      <w:r w:rsidRPr="006B1F36">
        <w:rPr>
          <w:sz w:val="20"/>
          <w:szCs w:val="20"/>
        </w:rPr>
        <w:t xml:space="preserve"> 252 (prepared statement of Janet Reno, </w:t>
      </w:r>
      <w:proofErr w:type="spellStart"/>
      <w:r w:rsidRPr="006B1F36">
        <w:rPr>
          <w:sz w:val="20"/>
          <w:szCs w:val="20"/>
        </w:rPr>
        <w:t>Att’y</w:t>
      </w:r>
      <w:proofErr w:type="spellEnd"/>
      <w:r w:rsidRPr="006B1F36">
        <w:rPr>
          <w:sz w:val="20"/>
          <w:szCs w:val="20"/>
        </w:rPr>
        <w:t xml:space="preserve"> Gen. of the United States); </w:t>
      </w:r>
      <w:r w:rsidR="006969CF">
        <w:rPr>
          <w:i/>
          <w:sz w:val="20"/>
          <w:szCs w:val="20"/>
        </w:rPr>
        <w:t>Reauthorization of</w:t>
      </w:r>
      <w:r w:rsidRPr="006B1F36">
        <w:rPr>
          <w:i/>
          <w:sz w:val="20"/>
          <w:szCs w:val="20"/>
        </w:rPr>
        <w:t xml:space="preserve"> the Independent Counsel Statute, Part I: Hearings Before the </w:t>
      </w:r>
      <w:proofErr w:type="spellStart"/>
      <w:r w:rsidRPr="006B1F36">
        <w:rPr>
          <w:i/>
          <w:sz w:val="20"/>
          <w:szCs w:val="20"/>
        </w:rPr>
        <w:t>Subcomm</w:t>
      </w:r>
      <w:proofErr w:type="spellEnd"/>
      <w:r w:rsidRPr="006B1F36">
        <w:rPr>
          <w:i/>
          <w:sz w:val="20"/>
          <w:szCs w:val="20"/>
        </w:rPr>
        <w:t xml:space="preserve">. </w:t>
      </w:r>
      <w:proofErr w:type="gramStart"/>
      <w:r w:rsidRPr="006B1F36">
        <w:rPr>
          <w:i/>
          <w:sz w:val="20"/>
          <w:szCs w:val="20"/>
        </w:rPr>
        <w:t>on</w:t>
      </w:r>
      <w:proofErr w:type="gramEnd"/>
      <w:r w:rsidRPr="006B1F36">
        <w:rPr>
          <w:i/>
          <w:sz w:val="20"/>
          <w:szCs w:val="20"/>
        </w:rPr>
        <w:t xml:space="preserve"> Commercial and Admin. Law of the H. Comm. on the Judiciary</w:t>
      </w:r>
      <w:r w:rsidRPr="006B1F36">
        <w:rPr>
          <w:sz w:val="20"/>
          <w:szCs w:val="20"/>
        </w:rPr>
        <w:t xml:space="preserve">, 106th Cong. 36 (1999) (prepared statement of Eric H. Holder, Jr., Deputy </w:t>
      </w:r>
      <w:proofErr w:type="spellStart"/>
      <w:r w:rsidRPr="006B1F36">
        <w:rPr>
          <w:sz w:val="20"/>
          <w:szCs w:val="20"/>
        </w:rPr>
        <w:t>Att’y</w:t>
      </w:r>
      <w:proofErr w:type="spellEnd"/>
      <w:r w:rsidRPr="006B1F36">
        <w:rPr>
          <w:sz w:val="20"/>
          <w:szCs w:val="20"/>
        </w:rPr>
        <w:t xml:space="preserve"> Gen.).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2F8CD" w14:textId="1D8B2A39" w:rsidR="007E05A9" w:rsidRPr="007E05A9" w:rsidRDefault="007E05A9" w:rsidP="007E05A9">
    <w:pPr>
      <w:pStyle w:val="Header"/>
      <w:tabs>
        <w:tab w:val="clear" w:pos="8640"/>
        <w:tab w:val="right" w:pos="9360"/>
      </w:tabs>
      <w:jc w:val="center"/>
      <w:rPr>
        <w:b/>
      </w:rPr>
    </w:pPr>
    <w:r>
      <w:rPr>
        <w:b/>
      </w:rPr>
      <w:t>Letter from Flood to Barr (Apr. 19,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F209E9"/>
    <w:multiLevelType w:val="hybridMultilevel"/>
    <w:tmpl w:val="CC2EAF80"/>
    <w:lvl w:ilvl="0" w:tplc="8B467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D39"/>
    <w:rsid w:val="00033137"/>
    <w:rsid w:val="000F4927"/>
    <w:rsid w:val="001966F9"/>
    <w:rsid w:val="00207E1D"/>
    <w:rsid w:val="00260AEB"/>
    <w:rsid w:val="002707B0"/>
    <w:rsid w:val="002C38B1"/>
    <w:rsid w:val="002D0128"/>
    <w:rsid w:val="003C26B9"/>
    <w:rsid w:val="003F037E"/>
    <w:rsid w:val="004146EC"/>
    <w:rsid w:val="00416E41"/>
    <w:rsid w:val="00451F5A"/>
    <w:rsid w:val="00463D39"/>
    <w:rsid w:val="006545E3"/>
    <w:rsid w:val="00656614"/>
    <w:rsid w:val="00691EFC"/>
    <w:rsid w:val="006969CF"/>
    <w:rsid w:val="006B1F36"/>
    <w:rsid w:val="00724BF9"/>
    <w:rsid w:val="00775E70"/>
    <w:rsid w:val="007B356E"/>
    <w:rsid w:val="007E05A9"/>
    <w:rsid w:val="00806EB5"/>
    <w:rsid w:val="0081696B"/>
    <w:rsid w:val="00847F50"/>
    <w:rsid w:val="00852650"/>
    <w:rsid w:val="00881BB5"/>
    <w:rsid w:val="008A1488"/>
    <w:rsid w:val="00915947"/>
    <w:rsid w:val="00987A27"/>
    <w:rsid w:val="00A355E7"/>
    <w:rsid w:val="00A4580A"/>
    <w:rsid w:val="00A67252"/>
    <w:rsid w:val="00B15982"/>
    <w:rsid w:val="00BE26B7"/>
    <w:rsid w:val="00C4716B"/>
    <w:rsid w:val="00C71F95"/>
    <w:rsid w:val="00D1653B"/>
    <w:rsid w:val="00D724B8"/>
    <w:rsid w:val="00DF02BC"/>
    <w:rsid w:val="00E528FA"/>
    <w:rsid w:val="00E55F1E"/>
    <w:rsid w:val="00EE72CA"/>
    <w:rsid w:val="00F856F2"/>
    <w:rsid w:val="00F911AD"/>
    <w:rsid w:val="00FD4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E1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39"/>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F911AD"/>
  </w:style>
  <w:style w:type="character" w:customStyle="1" w:styleId="FootnoteTextChar">
    <w:name w:val="Footnote Text Char"/>
    <w:basedOn w:val="DefaultParagraphFont"/>
    <w:link w:val="FootnoteText"/>
    <w:uiPriority w:val="99"/>
    <w:rsid w:val="00F911AD"/>
    <w:rPr>
      <w:rFonts w:ascii="Times New Roman" w:hAnsi="Times New Roman"/>
    </w:rPr>
  </w:style>
  <w:style w:type="character" w:styleId="FootnoteReference">
    <w:name w:val="footnote reference"/>
    <w:basedOn w:val="DefaultParagraphFont"/>
    <w:uiPriority w:val="99"/>
    <w:unhideWhenUsed/>
    <w:rsid w:val="00F911AD"/>
    <w:rPr>
      <w:vertAlign w:val="superscript"/>
    </w:rPr>
  </w:style>
  <w:style w:type="paragraph" w:styleId="ListParagraph">
    <w:name w:val="List Paragraph"/>
    <w:basedOn w:val="Normal"/>
    <w:uiPriority w:val="34"/>
    <w:qFormat/>
    <w:rsid w:val="00775E70"/>
    <w:pPr>
      <w:ind w:left="720"/>
      <w:contextualSpacing/>
    </w:pPr>
  </w:style>
  <w:style w:type="paragraph" w:styleId="Header">
    <w:name w:val="header"/>
    <w:basedOn w:val="Normal"/>
    <w:link w:val="HeaderChar"/>
    <w:uiPriority w:val="99"/>
    <w:unhideWhenUsed/>
    <w:rsid w:val="007E05A9"/>
    <w:pPr>
      <w:tabs>
        <w:tab w:val="center" w:pos="4320"/>
        <w:tab w:val="right" w:pos="8640"/>
      </w:tabs>
    </w:pPr>
  </w:style>
  <w:style w:type="character" w:customStyle="1" w:styleId="HeaderChar">
    <w:name w:val="Header Char"/>
    <w:basedOn w:val="DefaultParagraphFont"/>
    <w:link w:val="Header"/>
    <w:uiPriority w:val="99"/>
    <w:rsid w:val="007E05A9"/>
    <w:rPr>
      <w:rFonts w:ascii="Times New Roman" w:hAnsi="Times New Roman"/>
    </w:rPr>
  </w:style>
  <w:style w:type="paragraph" w:styleId="Footer">
    <w:name w:val="footer"/>
    <w:basedOn w:val="Normal"/>
    <w:link w:val="FooterChar"/>
    <w:uiPriority w:val="99"/>
    <w:unhideWhenUsed/>
    <w:rsid w:val="007E05A9"/>
    <w:pPr>
      <w:tabs>
        <w:tab w:val="center" w:pos="4320"/>
        <w:tab w:val="right" w:pos="8640"/>
      </w:tabs>
    </w:pPr>
  </w:style>
  <w:style w:type="character" w:customStyle="1" w:styleId="FooterChar">
    <w:name w:val="Footer Char"/>
    <w:basedOn w:val="DefaultParagraphFont"/>
    <w:link w:val="Footer"/>
    <w:uiPriority w:val="99"/>
    <w:rsid w:val="007E05A9"/>
    <w:rPr>
      <w:rFonts w:ascii="Times New Roman" w:hAnsi="Times New Roman"/>
    </w:rPr>
  </w:style>
  <w:style w:type="character" w:styleId="PageNumber">
    <w:name w:val="page number"/>
    <w:basedOn w:val="DefaultParagraphFont"/>
    <w:uiPriority w:val="99"/>
    <w:semiHidden/>
    <w:unhideWhenUsed/>
    <w:rsid w:val="00987A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39"/>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F911AD"/>
  </w:style>
  <w:style w:type="character" w:customStyle="1" w:styleId="FootnoteTextChar">
    <w:name w:val="Footnote Text Char"/>
    <w:basedOn w:val="DefaultParagraphFont"/>
    <w:link w:val="FootnoteText"/>
    <w:uiPriority w:val="99"/>
    <w:rsid w:val="00F911AD"/>
    <w:rPr>
      <w:rFonts w:ascii="Times New Roman" w:hAnsi="Times New Roman"/>
    </w:rPr>
  </w:style>
  <w:style w:type="character" w:styleId="FootnoteReference">
    <w:name w:val="footnote reference"/>
    <w:basedOn w:val="DefaultParagraphFont"/>
    <w:uiPriority w:val="99"/>
    <w:unhideWhenUsed/>
    <w:rsid w:val="00F911AD"/>
    <w:rPr>
      <w:vertAlign w:val="superscript"/>
    </w:rPr>
  </w:style>
  <w:style w:type="paragraph" w:styleId="ListParagraph">
    <w:name w:val="List Paragraph"/>
    <w:basedOn w:val="Normal"/>
    <w:uiPriority w:val="34"/>
    <w:qFormat/>
    <w:rsid w:val="00775E70"/>
    <w:pPr>
      <w:ind w:left="720"/>
      <w:contextualSpacing/>
    </w:pPr>
  </w:style>
  <w:style w:type="paragraph" w:styleId="Header">
    <w:name w:val="header"/>
    <w:basedOn w:val="Normal"/>
    <w:link w:val="HeaderChar"/>
    <w:uiPriority w:val="99"/>
    <w:unhideWhenUsed/>
    <w:rsid w:val="007E05A9"/>
    <w:pPr>
      <w:tabs>
        <w:tab w:val="center" w:pos="4320"/>
        <w:tab w:val="right" w:pos="8640"/>
      </w:tabs>
    </w:pPr>
  </w:style>
  <w:style w:type="character" w:customStyle="1" w:styleId="HeaderChar">
    <w:name w:val="Header Char"/>
    <w:basedOn w:val="DefaultParagraphFont"/>
    <w:link w:val="Header"/>
    <w:uiPriority w:val="99"/>
    <w:rsid w:val="007E05A9"/>
    <w:rPr>
      <w:rFonts w:ascii="Times New Roman" w:hAnsi="Times New Roman"/>
    </w:rPr>
  </w:style>
  <w:style w:type="paragraph" w:styleId="Footer">
    <w:name w:val="footer"/>
    <w:basedOn w:val="Normal"/>
    <w:link w:val="FooterChar"/>
    <w:uiPriority w:val="99"/>
    <w:unhideWhenUsed/>
    <w:rsid w:val="007E05A9"/>
    <w:pPr>
      <w:tabs>
        <w:tab w:val="center" w:pos="4320"/>
        <w:tab w:val="right" w:pos="8640"/>
      </w:tabs>
    </w:pPr>
  </w:style>
  <w:style w:type="character" w:customStyle="1" w:styleId="FooterChar">
    <w:name w:val="Footer Char"/>
    <w:basedOn w:val="DefaultParagraphFont"/>
    <w:link w:val="Footer"/>
    <w:uiPriority w:val="99"/>
    <w:rsid w:val="007E05A9"/>
    <w:rPr>
      <w:rFonts w:ascii="Times New Roman" w:hAnsi="Times New Roman"/>
    </w:rPr>
  </w:style>
  <w:style w:type="character" w:styleId="PageNumber">
    <w:name w:val="page number"/>
    <w:basedOn w:val="DefaultParagraphFont"/>
    <w:uiPriority w:val="99"/>
    <w:semiHidden/>
    <w:unhideWhenUsed/>
    <w:rsid w:val="0098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1894</Words>
  <Characters>10800</Characters>
  <Application>Microsoft Macintosh Word</Application>
  <DocSecurity>0</DocSecurity>
  <Lines>90</Lines>
  <Paragraphs>25</Paragraphs>
  <ScaleCrop>false</ScaleCrop>
  <Company/>
  <LinksUpToDate>false</LinksUpToDate>
  <CharactersWithSpaces>12669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50</cp:revision>
  <cp:lastPrinted>2019-09-05T01:36:00Z</cp:lastPrinted>
  <dcterms:created xsi:type="dcterms:W3CDTF">2019-09-05T00:22:00Z</dcterms:created>
  <dcterms:modified xsi:type="dcterms:W3CDTF">2019-09-05T02:17:00Z</dcterms:modified>
</cp:coreProperties>
</file>