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86620" w14:textId="77777777" w:rsidR="00724BF9" w:rsidRDefault="00CD5DC0" w:rsidP="00CD5DC0">
      <w:pPr>
        <w:jc w:val="both"/>
      </w:pPr>
      <w:r>
        <w:t>[</w:t>
      </w:r>
      <w:r w:rsidRPr="00CD5DC0">
        <w:t xml:space="preserve">Letter from Jerrold Nadler, Chairman, Committee on the Judiciary, United States House of Representatives, to William A. </w:t>
      </w:r>
      <w:proofErr w:type="spellStart"/>
      <w:r w:rsidRPr="00CD5DC0">
        <w:t>Burck</w:t>
      </w:r>
      <w:proofErr w:type="spellEnd"/>
      <w:r w:rsidRPr="00CD5DC0">
        <w:t xml:space="preserve">, of the firm Quinn </w:t>
      </w:r>
      <w:proofErr w:type="spellStart"/>
      <w:r w:rsidRPr="00CD5DC0">
        <w:t>Emanual</w:t>
      </w:r>
      <w:proofErr w:type="spellEnd"/>
      <w:r w:rsidRPr="00CD5DC0">
        <w:t xml:space="preserve">, Counsel to Don </w:t>
      </w:r>
      <w:proofErr w:type="spellStart"/>
      <w:r w:rsidRPr="00CD5DC0">
        <w:t>McGahn</w:t>
      </w:r>
      <w:proofErr w:type="spellEnd"/>
      <w:r w:rsidRPr="00CD5DC0">
        <w:t xml:space="preserve"> (May 7, 2019); </w:t>
      </w:r>
      <w:bookmarkStart w:id="0" w:name="_GoBack"/>
      <w:r w:rsidRPr="00890D8F">
        <w:rPr>
          <w:i/>
        </w:rPr>
        <w:t>see also id</w:t>
      </w:r>
      <w:bookmarkEnd w:id="0"/>
      <w:r w:rsidRPr="00CD5DC0">
        <w:t xml:space="preserve">. reprinted in Exhibit II to Complaint, H. Comm. on the Judiciary v. </w:t>
      </w:r>
      <w:proofErr w:type="spellStart"/>
      <w:r w:rsidRPr="00CD5DC0">
        <w:t>McGahn</w:t>
      </w:r>
      <w:proofErr w:type="spellEnd"/>
      <w:r w:rsidRPr="00CD5DC0">
        <w:t>, No. 1:19-cv-2379 (</w:t>
      </w:r>
      <w:proofErr w:type="spellStart"/>
      <w:r w:rsidRPr="00CD5DC0">
        <w:t>D.D.C</w:t>
      </w:r>
      <w:proofErr w:type="spellEnd"/>
      <w:r w:rsidRPr="00CD5DC0">
        <w:t>. Aug. 7, 2019).</w:t>
      </w:r>
      <w:r>
        <w:t>]</w:t>
      </w:r>
    </w:p>
    <w:p w14:paraId="15E2AA53" w14:textId="77777777" w:rsidR="00CD5DC0" w:rsidRDefault="00CD5DC0" w:rsidP="00CD5DC0">
      <w:pPr>
        <w:jc w:val="both"/>
      </w:pPr>
    </w:p>
    <w:p w14:paraId="33ACFDAE" w14:textId="77777777" w:rsidR="00CD5DC0" w:rsidRDefault="00CD5DC0" w:rsidP="00B51FF1">
      <w:pPr>
        <w:jc w:val="both"/>
      </w:pPr>
    </w:p>
    <w:p w14:paraId="2A2386EE" w14:textId="782870E5" w:rsidR="00B51FF1" w:rsidRPr="00646726" w:rsidRDefault="00B51FF1" w:rsidP="00B51FF1">
      <w:pPr>
        <w:jc w:val="center"/>
        <w:rPr>
          <w:color w:val="0000FF"/>
        </w:rPr>
      </w:pPr>
      <w:r w:rsidRPr="00646726">
        <w:rPr>
          <w:color w:val="0000FF"/>
        </w:rPr>
        <w:t>ONE HUNDRED SIXTEENTH CONGRESS</w:t>
      </w:r>
    </w:p>
    <w:p w14:paraId="74DED4BB" w14:textId="77777777" w:rsidR="00F27DE8" w:rsidRPr="00646726" w:rsidRDefault="00F27DE8" w:rsidP="00B51FF1">
      <w:pPr>
        <w:jc w:val="center"/>
        <w:rPr>
          <w:color w:val="0000FF"/>
        </w:rPr>
      </w:pPr>
    </w:p>
    <w:p w14:paraId="2393FB27" w14:textId="3A7442E6" w:rsidR="00F27DE8" w:rsidRPr="003338DD" w:rsidRDefault="003A2CA0" w:rsidP="00B51FF1">
      <w:pPr>
        <w:jc w:val="center"/>
        <w:rPr>
          <w:rFonts w:ascii="Old English Five" w:hAnsi="Old English Five"/>
          <w:color w:val="0000FF"/>
          <w:sz w:val="32"/>
          <w:szCs w:val="32"/>
        </w:rPr>
      </w:pPr>
      <w:r w:rsidRPr="003338DD">
        <w:rPr>
          <w:rFonts w:ascii="Old English Five" w:hAnsi="Old English Five"/>
          <w:color w:val="0000FF"/>
          <w:sz w:val="32"/>
          <w:szCs w:val="32"/>
        </w:rPr>
        <w:t>Congress of the United States</w:t>
      </w:r>
    </w:p>
    <w:p w14:paraId="193751C4" w14:textId="7A48885E" w:rsidR="003A2CA0" w:rsidRPr="00646726" w:rsidRDefault="003A2CA0" w:rsidP="00B51FF1">
      <w:pPr>
        <w:jc w:val="center"/>
        <w:rPr>
          <w:rFonts w:ascii="Old English Five" w:hAnsi="Old English Five"/>
          <w:color w:val="0000FF"/>
        </w:rPr>
      </w:pPr>
      <w:r w:rsidRPr="003338DD">
        <w:rPr>
          <w:rFonts w:ascii="Old English Five" w:hAnsi="Old English Five"/>
          <w:color w:val="0000FF"/>
          <w:sz w:val="32"/>
          <w:szCs w:val="32"/>
        </w:rPr>
        <w:t>House of Representatives</w:t>
      </w:r>
    </w:p>
    <w:p w14:paraId="405BC143" w14:textId="77777777" w:rsidR="003A2CA0" w:rsidRPr="00646726" w:rsidRDefault="003A2CA0" w:rsidP="00B51FF1">
      <w:pPr>
        <w:jc w:val="center"/>
        <w:rPr>
          <w:rFonts w:cs="Times New Roman"/>
          <w:color w:val="0000FF"/>
        </w:rPr>
      </w:pPr>
    </w:p>
    <w:p w14:paraId="4BA478E1" w14:textId="314074AD" w:rsidR="003A2CA0" w:rsidRPr="00646726" w:rsidRDefault="003A2CA0" w:rsidP="00B51FF1">
      <w:pPr>
        <w:jc w:val="center"/>
        <w:rPr>
          <w:rFonts w:cs="Times New Roman"/>
          <w:color w:val="0000FF"/>
        </w:rPr>
      </w:pPr>
      <w:r w:rsidRPr="00646726">
        <w:rPr>
          <w:rFonts w:cs="Times New Roman"/>
          <w:color w:val="0000FF"/>
        </w:rPr>
        <w:t>COMMITTEE ON THE JUDICIARY</w:t>
      </w:r>
    </w:p>
    <w:p w14:paraId="10C8D9FB" w14:textId="710973D1" w:rsidR="003A2CA0" w:rsidRPr="00B93AB0" w:rsidRDefault="003A2CA0" w:rsidP="00B51FF1">
      <w:pPr>
        <w:jc w:val="center"/>
        <w:rPr>
          <w:rFonts w:cs="Times New Roman"/>
          <w:color w:val="0000FF"/>
          <w:sz w:val="22"/>
        </w:rPr>
      </w:pPr>
      <w:r w:rsidRPr="00B93AB0">
        <w:rPr>
          <w:rFonts w:cs="Times New Roman"/>
          <w:color w:val="0000FF"/>
          <w:sz w:val="22"/>
        </w:rPr>
        <w:t xml:space="preserve">2138 </w:t>
      </w:r>
      <w:r w:rsidRPr="00B93AB0">
        <w:rPr>
          <w:rFonts w:cs="Times New Roman"/>
          <w:smallCaps/>
          <w:color w:val="0000FF"/>
          <w:sz w:val="22"/>
        </w:rPr>
        <w:t>Rayburn House Office Building</w:t>
      </w:r>
    </w:p>
    <w:p w14:paraId="12AD1D1A" w14:textId="60301BFD" w:rsidR="003A2CA0" w:rsidRPr="00B93AB0" w:rsidRDefault="003A2CA0" w:rsidP="00B51FF1">
      <w:pPr>
        <w:jc w:val="center"/>
        <w:rPr>
          <w:rFonts w:cs="Times New Roman"/>
          <w:smallCaps/>
          <w:color w:val="0000FF"/>
          <w:sz w:val="22"/>
        </w:rPr>
      </w:pPr>
      <w:r w:rsidRPr="00B93AB0">
        <w:rPr>
          <w:rFonts w:cs="Times New Roman"/>
          <w:smallCaps/>
          <w:color w:val="0000FF"/>
          <w:sz w:val="22"/>
        </w:rPr>
        <w:t>Washington, DC 20515-6216</w:t>
      </w:r>
    </w:p>
    <w:p w14:paraId="30AEB032" w14:textId="77777777" w:rsidR="003A2CA0" w:rsidRPr="00646726" w:rsidRDefault="003A2CA0" w:rsidP="00B51FF1">
      <w:pPr>
        <w:jc w:val="center"/>
        <w:rPr>
          <w:rFonts w:cs="Times New Roman"/>
          <w:color w:val="0000FF"/>
        </w:rPr>
      </w:pPr>
    </w:p>
    <w:p w14:paraId="38AA4E99" w14:textId="00CFFD8B" w:rsidR="003A2CA0" w:rsidRPr="00646726" w:rsidRDefault="003A2CA0" w:rsidP="00B51FF1">
      <w:pPr>
        <w:jc w:val="center"/>
        <w:rPr>
          <w:rFonts w:cs="Times New Roman"/>
          <w:color w:val="0000FF"/>
        </w:rPr>
      </w:pPr>
      <w:r w:rsidRPr="00B93AB0">
        <w:rPr>
          <w:rFonts w:cs="Times New Roman"/>
          <w:color w:val="0000FF"/>
          <w:sz w:val="20"/>
        </w:rPr>
        <w:t>(202) 225-3951</w:t>
      </w:r>
    </w:p>
    <w:p w14:paraId="463E66DB" w14:textId="0B5C794E" w:rsidR="003A2CA0" w:rsidRPr="00B93AB0" w:rsidRDefault="003A2CA0" w:rsidP="00B51FF1">
      <w:pPr>
        <w:jc w:val="center"/>
        <w:rPr>
          <w:rFonts w:cs="Times New Roman"/>
          <w:color w:val="0000FF"/>
          <w:sz w:val="16"/>
          <w:szCs w:val="16"/>
        </w:rPr>
      </w:pPr>
      <w:r w:rsidRPr="00B93AB0">
        <w:rPr>
          <w:rFonts w:cs="Times New Roman"/>
          <w:color w:val="0000FF"/>
          <w:sz w:val="16"/>
          <w:szCs w:val="16"/>
        </w:rPr>
        <w:t>http://www.house.gov/judiciary</w:t>
      </w:r>
    </w:p>
    <w:p w14:paraId="75A66F70" w14:textId="77777777" w:rsidR="003A2CA0" w:rsidRDefault="003A2CA0" w:rsidP="00B51FF1">
      <w:pPr>
        <w:jc w:val="center"/>
        <w:rPr>
          <w:rFonts w:cs="Times New Roman"/>
        </w:rPr>
      </w:pPr>
    </w:p>
    <w:p w14:paraId="2409910D" w14:textId="77777777" w:rsidR="003A2CA0" w:rsidRDefault="003A2CA0" w:rsidP="00B51FF1">
      <w:pPr>
        <w:jc w:val="center"/>
        <w:rPr>
          <w:rFonts w:cs="Times New Roman"/>
        </w:rPr>
      </w:pPr>
    </w:p>
    <w:p w14:paraId="1E0E730C" w14:textId="2B60463D" w:rsidR="003A2CA0" w:rsidRDefault="003A2CA0" w:rsidP="00B51FF1">
      <w:pPr>
        <w:jc w:val="center"/>
        <w:rPr>
          <w:rFonts w:cs="Times New Roman"/>
        </w:rPr>
      </w:pPr>
      <w:r>
        <w:rPr>
          <w:rFonts w:cs="Times New Roman"/>
        </w:rPr>
        <w:t>May 7, 2019</w:t>
      </w:r>
    </w:p>
    <w:p w14:paraId="384E7898" w14:textId="77777777" w:rsidR="00B93AB0" w:rsidRDefault="00B93AB0" w:rsidP="008E4BC8">
      <w:pPr>
        <w:jc w:val="both"/>
        <w:rPr>
          <w:rFonts w:cs="Times New Roman"/>
        </w:rPr>
      </w:pPr>
    </w:p>
    <w:p w14:paraId="06E93DF1" w14:textId="0AE5ECAE" w:rsidR="008E4BC8" w:rsidRPr="008E4BC8" w:rsidRDefault="008E4BC8" w:rsidP="008E4BC8">
      <w:pPr>
        <w:jc w:val="both"/>
        <w:rPr>
          <w:rFonts w:cs="Times New Roman"/>
        </w:rPr>
      </w:pPr>
      <w:r w:rsidRPr="008E4BC8">
        <w:rPr>
          <w:rFonts w:cs="Times New Roman"/>
        </w:rPr>
        <w:t xml:space="preserve">William A. </w:t>
      </w:r>
      <w:proofErr w:type="spellStart"/>
      <w:r w:rsidRPr="008E4BC8">
        <w:rPr>
          <w:rFonts w:cs="Times New Roman"/>
        </w:rPr>
        <w:t>Burck</w:t>
      </w:r>
      <w:proofErr w:type="spellEnd"/>
      <w:r w:rsidRPr="008E4BC8">
        <w:rPr>
          <w:rFonts w:cs="Times New Roman"/>
        </w:rPr>
        <w:t>,</w:t>
      </w:r>
      <w:r w:rsidR="001021FC">
        <w:rPr>
          <w:rFonts w:cs="Times New Roman"/>
        </w:rPr>
        <w:t xml:space="preserve"> </w:t>
      </w:r>
      <w:r w:rsidRPr="008E4BC8">
        <w:rPr>
          <w:rFonts w:cs="Times New Roman"/>
        </w:rPr>
        <w:t>Esq.</w:t>
      </w:r>
    </w:p>
    <w:p w14:paraId="3CFA0604" w14:textId="31B58A7B" w:rsidR="008E4BC8" w:rsidRPr="008E4BC8" w:rsidRDefault="008E4BC8" w:rsidP="008E4BC8">
      <w:pPr>
        <w:jc w:val="both"/>
        <w:rPr>
          <w:rFonts w:cs="Times New Roman"/>
        </w:rPr>
      </w:pPr>
      <w:r w:rsidRPr="008E4BC8">
        <w:rPr>
          <w:rFonts w:cs="Times New Roman"/>
        </w:rPr>
        <w:t>Quinn Emanuel Urquhart &amp; Sullivan 1300 I St.</w:t>
      </w:r>
      <w:r w:rsidR="001021FC">
        <w:rPr>
          <w:rFonts w:cs="Times New Roman"/>
        </w:rPr>
        <w:t xml:space="preserve"> </w:t>
      </w:r>
      <w:r w:rsidRPr="008E4BC8">
        <w:rPr>
          <w:rFonts w:cs="Times New Roman"/>
        </w:rPr>
        <w:t>NW</w:t>
      </w:r>
    </w:p>
    <w:p w14:paraId="5EC59B85" w14:textId="77777777" w:rsidR="008E4BC8" w:rsidRPr="008E4BC8" w:rsidRDefault="008E4BC8" w:rsidP="008E4BC8">
      <w:pPr>
        <w:jc w:val="both"/>
        <w:rPr>
          <w:rFonts w:cs="Times New Roman"/>
        </w:rPr>
      </w:pPr>
      <w:r w:rsidRPr="008E4BC8">
        <w:rPr>
          <w:rFonts w:cs="Times New Roman"/>
        </w:rPr>
        <w:t>Suite 9000</w:t>
      </w:r>
    </w:p>
    <w:p w14:paraId="5DEC35E0" w14:textId="1CBF1DB1" w:rsidR="008E4BC8" w:rsidRPr="008E4BC8" w:rsidRDefault="008E4BC8" w:rsidP="008E4BC8">
      <w:pPr>
        <w:jc w:val="both"/>
        <w:rPr>
          <w:rFonts w:cs="Times New Roman"/>
        </w:rPr>
      </w:pPr>
      <w:r w:rsidRPr="008E4BC8">
        <w:rPr>
          <w:rFonts w:cs="Times New Roman"/>
        </w:rPr>
        <w:t>Washington,</w:t>
      </w:r>
      <w:r w:rsidR="001021FC">
        <w:rPr>
          <w:rFonts w:cs="Times New Roman"/>
        </w:rPr>
        <w:t xml:space="preserve"> </w:t>
      </w:r>
      <w:r w:rsidRPr="008E4BC8">
        <w:rPr>
          <w:rFonts w:cs="Times New Roman"/>
        </w:rPr>
        <w:t>D.C.</w:t>
      </w:r>
      <w:r w:rsidR="001021FC">
        <w:rPr>
          <w:rFonts w:cs="Times New Roman"/>
        </w:rPr>
        <w:t xml:space="preserve"> </w:t>
      </w:r>
      <w:r w:rsidRPr="008E4BC8">
        <w:rPr>
          <w:rFonts w:cs="Times New Roman"/>
        </w:rPr>
        <w:t>20005</w:t>
      </w:r>
    </w:p>
    <w:p w14:paraId="76A1168B" w14:textId="77777777" w:rsidR="008E4BC8" w:rsidRDefault="008E4BC8" w:rsidP="008E4BC8">
      <w:pPr>
        <w:jc w:val="both"/>
        <w:rPr>
          <w:rFonts w:cs="Times New Roman"/>
        </w:rPr>
      </w:pPr>
    </w:p>
    <w:p w14:paraId="35753CE1" w14:textId="208591F0" w:rsidR="00B93AB0" w:rsidRDefault="0002598E" w:rsidP="00B93AB0">
      <w:pPr>
        <w:jc w:val="both"/>
        <w:rPr>
          <w:rFonts w:cs="Times New Roman"/>
        </w:rPr>
      </w:pPr>
      <w:r w:rsidRPr="0002598E">
        <w:rPr>
          <w:rFonts w:cs="Times New Roman"/>
        </w:rPr>
        <w:t>Dear Mr.</w:t>
      </w:r>
      <w:r w:rsidR="004B2463">
        <w:rPr>
          <w:rFonts w:cs="Times New Roman"/>
        </w:rPr>
        <w:t xml:space="preserve"> </w:t>
      </w:r>
      <w:proofErr w:type="spellStart"/>
      <w:r w:rsidRPr="0002598E">
        <w:rPr>
          <w:rFonts w:cs="Times New Roman"/>
        </w:rPr>
        <w:t>Burck</w:t>
      </w:r>
      <w:proofErr w:type="spellEnd"/>
      <w:r w:rsidRPr="0002598E">
        <w:rPr>
          <w:rFonts w:cs="Times New Roman"/>
        </w:rPr>
        <w:t>:</w:t>
      </w:r>
    </w:p>
    <w:p w14:paraId="38772EB8" w14:textId="77777777" w:rsidR="0002598E" w:rsidRDefault="0002598E" w:rsidP="00B93AB0">
      <w:pPr>
        <w:jc w:val="both"/>
        <w:rPr>
          <w:rFonts w:cs="Times New Roman"/>
        </w:rPr>
      </w:pPr>
    </w:p>
    <w:p w14:paraId="4F48278D" w14:textId="1A2FFE03" w:rsidR="0002598E" w:rsidRDefault="004B2463" w:rsidP="00B93AB0">
      <w:pPr>
        <w:jc w:val="both"/>
        <w:rPr>
          <w:rFonts w:cs="Times New Roman"/>
        </w:rPr>
      </w:pPr>
      <w:r w:rsidRPr="004B2463">
        <w:rPr>
          <w:rFonts w:cs="Times New Roman"/>
        </w:rPr>
        <w:t>On Monday,</w:t>
      </w:r>
      <w:r w:rsidR="00231916">
        <w:rPr>
          <w:rFonts w:cs="Times New Roman"/>
        </w:rPr>
        <w:t xml:space="preserve"> </w:t>
      </w:r>
      <w:r w:rsidRPr="004B2463">
        <w:rPr>
          <w:rFonts w:cs="Times New Roman"/>
        </w:rPr>
        <w:t>April 22,the House Committee on the Judiciary served a subpoena on your client,</w:t>
      </w:r>
      <w:r w:rsidR="00231916">
        <w:rPr>
          <w:rFonts w:cs="Times New Roman"/>
        </w:rPr>
        <w:t xml:space="preserve"> </w:t>
      </w:r>
      <w:r w:rsidRPr="004B2463">
        <w:rPr>
          <w:rFonts w:cs="Times New Roman"/>
        </w:rPr>
        <w:t xml:space="preserve">former White House Counsel Donald F. </w:t>
      </w:r>
      <w:proofErr w:type="spellStart"/>
      <w:r w:rsidRPr="004B2463">
        <w:rPr>
          <w:rFonts w:cs="Times New Roman"/>
        </w:rPr>
        <w:t>McGahn</w:t>
      </w:r>
      <w:proofErr w:type="spellEnd"/>
      <w:r w:rsidRPr="004B2463">
        <w:rPr>
          <w:rFonts w:cs="Times New Roman"/>
        </w:rPr>
        <w:t xml:space="preserve"> II,</w:t>
      </w:r>
      <w:r>
        <w:rPr>
          <w:rFonts w:cs="Times New Roman"/>
        </w:rPr>
        <w:t xml:space="preserve"> </w:t>
      </w:r>
      <w:r w:rsidRPr="004B2463">
        <w:rPr>
          <w:rFonts w:cs="Times New Roman"/>
        </w:rPr>
        <w:t>compelling the production of documents in Mr.</w:t>
      </w:r>
      <w:r w:rsidR="00231916">
        <w:rPr>
          <w:rFonts w:cs="Times New Roman"/>
        </w:rPr>
        <w:t xml:space="preserve"> </w:t>
      </w:r>
      <w:proofErr w:type="spellStart"/>
      <w:r w:rsidRPr="004B2463">
        <w:rPr>
          <w:rFonts w:cs="Times New Roman"/>
        </w:rPr>
        <w:t>McGahn's</w:t>
      </w:r>
      <w:proofErr w:type="spellEnd"/>
      <w:r w:rsidRPr="004B2463">
        <w:rPr>
          <w:rFonts w:cs="Times New Roman"/>
        </w:rPr>
        <w:t xml:space="preserve"> possession or control by May 7, and his testimony on May 21, 2019. We write in response to your letter received this morning regarding that subpoena.</w:t>
      </w:r>
    </w:p>
    <w:p w14:paraId="3E308598" w14:textId="77777777" w:rsidR="00231916" w:rsidRDefault="00231916" w:rsidP="00B93AB0">
      <w:pPr>
        <w:jc w:val="both"/>
        <w:rPr>
          <w:rFonts w:cs="Times New Roman"/>
        </w:rPr>
      </w:pPr>
    </w:p>
    <w:p w14:paraId="6681DD27" w14:textId="7B096BB1" w:rsidR="00231916" w:rsidRDefault="00231916" w:rsidP="00B93AB0">
      <w:pPr>
        <w:jc w:val="both"/>
        <w:rPr>
          <w:rFonts w:cs="Times New Roman"/>
        </w:rPr>
      </w:pPr>
      <w:r>
        <w:rPr>
          <w:rFonts w:cs="Times New Roman"/>
        </w:rPr>
        <w:t xml:space="preserve">As an initial matter, regarding the subpoenaed documents, the White House Counsel’s letter did not actually </w:t>
      </w:r>
      <w:r>
        <w:rPr>
          <w:rFonts w:cs="Times New Roman"/>
          <w:i/>
        </w:rPr>
        <w:t>invoke</w:t>
      </w:r>
      <w:r>
        <w:rPr>
          <w:rFonts w:cs="Times New Roman"/>
        </w:rPr>
        <w:t xml:space="preserve"> executive privilege, but rather merely suggested at the 11th hour – without providing any supporting authority – that all requested documents “</w:t>
      </w:r>
      <w:r>
        <w:rPr>
          <w:rFonts w:cs="Times New Roman"/>
          <w:i/>
        </w:rPr>
        <w:t>implicate</w:t>
      </w:r>
      <w:r>
        <w:rPr>
          <w:rFonts w:cs="Times New Roman"/>
        </w:rPr>
        <w:t xml:space="preserve"> significant Executive Branch confidential interests and executive privilege.”</w:t>
      </w:r>
      <w:r>
        <w:rPr>
          <w:rStyle w:val="FootnoteReference"/>
          <w:rFonts w:cs="Times New Roman"/>
        </w:rPr>
        <w:footnoteReference w:id="1"/>
      </w:r>
      <w:r>
        <w:rPr>
          <w:rFonts w:cs="Times New Roman"/>
        </w:rPr>
        <w:t xml:space="preserve"> </w:t>
      </w:r>
      <w:r w:rsidR="00514021">
        <w:rPr>
          <w:rFonts w:cs="Times New Roman"/>
        </w:rPr>
        <w:t xml:space="preserve">This blanket suggestion of potential privilege is entirely insufficient. As the district court for the District of Columbia held in </w:t>
      </w:r>
      <w:r w:rsidR="00514021">
        <w:rPr>
          <w:rFonts w:cs="Times New Roman"/>
          <w:i/>
        </w:rPr>
        <w:t xml:space="preserve">Committee on the Judiciary v. </w:t>
      </w:r>
      <w:proofErr w:type="spellStart"/>
      <w:r w:rsidR="00514021">
        <w:rPr>
          <w:rFonts w:cs="Times New Roman"/>
          <w:i/>
        </w:rPr>
        <w:t>Miers</w:t>
      </w:r>
      <w:proofErr w:type="spellEnd"/>
      <w:r w:rsidR="00514021">
        <w:rPr>
          <w:rFonts w:cs="Times New Roman"/>
        </w:rPr>
        <w:t xml:space="preserve">, a subpoena recipient is “not excused from compliance with [a] Committee’s subpoena by virtue of a claim of executive privilege that </w:t>
      </w:r>
      <w:r w:rsidR="00514021">
        <w:rPr>
          <w:rFonts w:cs="Times New Roman"/>
          <w:i/>
        </w:rPr>
        <w:t>may ultimately be made</w:t>
      </w:r>
      <w:r w:rsidR="00514021">
        <w:rPr>
          <w:rFonts w:cs="Times New Roman"/>
        </w:rPr>
        <w:t>.”</w:t>
      </w:r>
      <w:r w:rsidR="00514021">
        <w:rPr>
          <w:rStyle w:val="FootnoteReference"/>
          <w:rFonts w:cs="Times New Roman"/>
        </w:rPr>
        <w:footnoteReference w:id="2"/>
      </w:r>
      <w:r w:rsidR="00514021">
        <w:rPr>
          <w:rFonts w:cs="Times New Roman"/>
        </w:rPr>
        <w:t xml:space="preserve"> Nor can “a blanket assertion of privilege over all records generated after a particular </w:t>
      </w:r>
      <w:r w:rsidR="00514021">
        <w:rPr>
          <w:rFonts w:cs="Times New Roman"/>
        </w:rPr>
        <w:lastRenderedPageBreak/>
        <w:t xml:space="preserve">date . . . pass muster,” without a “showing . . . that any of the individual records </w:t>
      </w:r>
      <w:proofErr w:type="spellStart"/>
      <w:proofErr w:type="gramStart"/>
      <w:r w:rsidR="00514021">
        <w:rPr>
          <w:rFonts w:cs="Times New Roman"/>
        </w:rPr>
        <w:t>satisf</w:t>
      </w:r>
      <w:proofErr w:type="spellEnd"/>
      <w:r w:rsidR="00514021">
        <w:rPr>
          <w:rFonts w:cs="Times New Roman"/>
        </w:rPr>
        <w:t>[</w:t>
      </w:r>
      <w:proofErr w:type="gramEnd"/>
      <w:r w:rsidR="00514021">
        <w:rPr>
          <w:rFonts w:cs="Times New Roman"/>
        </w:rPr>
        <w:t>y] the prerequisites for the application of the privilege.”</w:t>
      </w:r>
      <w:r w:rsidR="00514021">
        <w:rPr>
          <w:rStyle w:val="FootnoteReference"/>
          <w:rFonts w:cs="Times New Roman"/>
        </w:rPr>
        <w:footnoteReference w:id="3"/>
      </w:r>
    </w:p>
    <w:p w14:paraId="7ABDAA16" w14:textId="77777777" w:rsidR="00514021" w:rsidRDefault="00514021" w:rsidP="00B93AB0">
      <w:pPr>
        <w:jc w:val="both"/>
        <w:rPr>
          <w:rFonts w:cs="Times New Roman"/>
        </w:rPr>
      </w:pPr>
    </w:p>
    <w:p w14:paraId="5942966B" w14:textId="04D321D0" w:rsidR="00514021" w:rsidRDefault="00211756" w:rsidP="00B93AB0">
      <w:pPr>
        <w:jc w:val="both"/>
        <w:rPr>
          <w:rFonts w:cs="Times New Roman"/>
        </w:rPr>
      </w:pPr>
      <w:r>
        <w:rPr>
          <w:rFonts w:cs="Times New Roman"/>
        </w:rPr>
        <w:t xml:space="preserve">Even if the President were to properly invoke privilege, any claim of executive privilege has been waived as to documents that the White House voluntarily disclosed to Mr. </w:t>
      </w:r>
      <w:proofErr w:type="spellStart"/>
      <w:r>
        <w:rPr>
          <w:rFonts w:cs="Times New Roman"/>
        </w:rPr>
        <w:t>McGahn</w:t>
      </w:r>
      <w:proofErr w:type="spellEnd"/>
      <w:r>
        <w:rPr>
          <w:rFonts w:cs="Times New Roman"/>
        </w:rPr>
        <w:t xml:space="preserve"> and </w:t>
      </w:r>
      <w:r w:rsidR="006770FE">
        <w:rPr>
          <w:rFonts w:cs="Times New Roman"/>
          <w:b/>
        </w:rPr>
        <w:t>[*2]</w:t>
      </w:r>
      <w:r w:rsidR="006770FE">
        <w:rPr>
          <w:rFonts w:cs="Times New Roman"/>
        </w:rPr>
        <w:t xml:space="preserve"> </w:t>
      </w:r>
      <w:r w:rsidR="00ED642C">
        <w:rPr>
          <w:rFonts w:cs="Times New Roman"/>
        </w:rPr>
        <w:t xml:space="preserve">his counsel. The D.C. Circuit expressly held in </w:t>
      </w:r>
      <w:r w:rsidR="00ED642C">
        <w:rPr>
          <w:rFonts w:cs="Times New Roman"/>
          <w:i/>
        </w:rPr>
        <w:t>In re Sealed Case (Espy)</w:t>
      </w:r>
      <w:r w:rsidR="00ED642C">
        <w:rPr>
          <w:rFonts w:cs="Times New Roman"/>
        </w:rPr>
        <w:t xml:space="preserve"> that the White House “</w:t>
      </w:r>
      <w:proofErr w:type="gramStart"/>
      <w:r w:rsidR="00ED642C">
        <w:rPr>
          <w:rFonts w:cs="Times New Roman"/>
        </w:rPr>
        <w:t>waive</w:t>
      </w:r>
      <w:proofErr w:type="gramEnd"/>
      <w:r w:rsidR="00ED642C">
        <w:rPr>
          <w:rFonts w:cs="Times New Roman"/>
        </w:rPr>
        <w:t>[s] its claims of privilege in regard to specific documents that it voluntarily reveal[s] to third parties outside the White House.”</w:t>
      </w:r>
      <w:r w:rsidR="00ED642C">
        <w:rPr>
          <w:rStyle w:val="FootnoteReference"/>
          <w:rFonts w:cs="Times New Roman"/>
        </w:rPr>
        <w:footnoteReference w:id="4"/>
      </w:r>
      <w:r w:rsidR="00ED642C">
        <w:rPr>
          <w:rFonts w:cs="Times New Roman"/>
        </w:rPr>
        <w:t xml:space="preserve"> In </w:t>
      </w:r>
      <w:r w:rsidR="00ED642C">
        <w:rPr>
          <w:rFonts w:cs="Times New Roman"/>
          <w:i/>
        </w:rPr>
        <w:t>Espy</w:t>
      </w:r>
      <w:r w:rsidR="00ED642C">
        <w:rPr>
          <w:rFonts w:cs="Times New Roman"/>
        </w:rPr>
        <w:t xml:space="preserve">, </w:t>
      </w:r>
      <w:r w:rsidR="00556039">
        <w:rPr>
          <w:rFonts w:cs="Times New Roman"/>
        </w:rPr>
        <w:t>a</w:t>
      </w:r>
      <w:r w:rsidR="00ED642C">
        <w:rPr>
          <w:rFonts w:cs="Times New Roman"/>
        </w:rPr>
        <w:t>s is the case here, the disclosure at issue was to the attorney for a former government official.</w:t>
      </w:r>
      <w:r w:rsidR="00ED642C">
        <w:rPr>
          <w:rStyle w:val="FootnoteReference"/>
          <w:rFonts w:cs="Times New Roman"/>
        </w:rPr>
        <w:footnoteReference w:id="5"/>
      </w:r>
      <w:r w:rsidR="00ED642C">
        <w:rPr>
          <w:rFonts w:cs="Times New Roman"/>
        </w:rPr>
        <w:t xml:space="preserve"> </w:t>
      </w:r>
      <w:r w:rsidR="00CC4A7A">
        <w:rPr>
          <w:rFonts w:cs="Times New Roman"/>
        </w:rPr>
        <w:t>Thus, given that there has been neither an actual assertion of executive privilege, nor an individualized showing that the privilege would apply to the subpoenaed records, the Committee continues to insist upon compliance with the subpoena.</w:t>
      </w:r>
    </w:p>
    <w:p w14:paraId="50AE4352" w14:textId="77777777" w:rsidR="009D1FEC" w:rsidRDefault="009D1FEC" w:rsidP="00B93AB0">
      <w:pPr>
        <w:jc w:val="both"/>
        <w:rPr>
          <w:rFonts w:cs="Times New Roman"/>
        </w:rPr>
      </w:pPr>
    </w:p>
    <w:p w14:paraId="48596F63" w14:textId="3409CF92" w:rsidR="009D1FEC" w:rsidRDefault="009D1FEC" w:rsidP="00B93AB0">
      <w:pPr>
        <w:jc w:val="both"/>
        <w:rPr>
          <w:rFonts w:cs="Times New Roman"/>
        </w:rPr>
      </w:pPr>
      <w:r>
        <w:rPr>
          <w:rFonts w:cs="Times New Roman"/>
        </w:rPr>
        <w:t xml:space="preserve">As to Mr. </w:t>
      </w:r>
      <w:proofErr w:type="spellStart"/>
      <w:r>
        <w:rPr>
          <w:rFonts w:cs="Times New Roman"/>
        </w:rPr>
        <w:t>McGahn’s</w:t>
      </w:r>
      <w:proofErr w:type="spellEnd"/>
      <w:r>
        <w:rPr>
          <w:rFonts w:cs="Times New Roman"/>
        </w:rPr>
        <w:t xml:space="preserve"> own document production obligations, the subpoena plainly directs that your client must provide a privilege log containing specific information for any document in his possession or control that “is withheld in full or in part on any basis,” including on “the basis of a privilege asserted by or on behalf of the White House, or at the request of the White House.”</w:t>
      </w:r>
      <w:r>
        <w:rPr>
          <w:rStyle w:val="FootnoteReference"/>
          <w:rFonts w:cs="Times New Roman"/>
        </w:rPr>
        <w:footnoteReference w:id="6"/>
      </w:r>
      <w:r>
        <w:rPr>
          <w:rFonts w:cs="Times New Roman"/>
        </w:rPr>
        <w:t xml:space="preserve"> As the instructions also make clear, any “objections or claims of privilege are waived if you fail to provide an explanation of why full compliance is not possible </w:t>
      </w:r>
      <w:r w:rsidR="00F1679E">
        <w:rPr>
          <w:rFonts w:cs="Times New Roman"/>
        </w:rPr>
        <w:t>and a log identifying with specificity the ground(s) for withholding each withheld document prior to the request compliance date.”</w:t>
      </w:r>
      <w:r w:rsidR="00F1679E">
        <w:rPr>
          <w:rStyle w:val="FootnoteReference"/>
          <w:rFonts w:cs="Times New Roman"/>
        </w:rPr>
        <w:footnoteReference w:id="7"/>
      </w:r>
      <w:r w:rsidR="00F1679E">
        <w:rPr>
          <w:rFonts w:cs="Times New Roman"/>
        </w:rPr>
        <w:t xml:space="preserve"> </w:t>
      </w:r>
      <w:r w:rsidR="00D57902">
        <w:rPr>
          <w:rFonts w:cs="Times New Roman"/>
        </w:rPr>
        <w:t>In accordance with the requirements laid out in our subpoena, we expect a full privilege log specifying each document withheld, the asserted basis for so doing and the other information demanded</w:t>
      </w:r>
      <w:proofErr w:type="gramStart"/>
      <w:r w:rsidR="00D57902">
        <w:rPr>
          <w:rFonts w:cs="Times New Roman"/>
        </w:rPr>
        <w:t>,</w:t>
      </w:r>
      <w:proofErr w:type="gramEnd"/>
      <w:r w:rsidR="00D57902">
        <w:rPr>
          <w:rFonts w:cs="Times New Roman"/>
        </w:rPr>
        <w:t xml:space="preserve"> to be provided forthwith.</w:t>
      </w:r>
    </w:p>
    <w:p w14:paraId="069BD63E" w14:textId="77777777" w:rsidR="00604FB1" w:rsidRDefault="00604FB1" w:rsidP="00B93AB0">
      <w:pPr>
        <w:jc w:val="both"/>
        <w:rPr>
          <w:rFonts w:cs="Times New Roman"/>
        </w:rPr>
      </w:pPr>
    </w:p>
    <w:p w14:paraId="2376BD20" w14:textId="122F5107" w:rsidR="00604FB1" w:rsidRDefault="00604FB1" w:rsidP="00B93AB0">
      <w:pPr>
        <w:jc w:val="both"/>
        <w:rPr>
          <w:rFonts w:cs="Times New Roman"/>
        </w:rPr>
      </w:pPr>
      <w:r>
        <w:rPr>
          <w:rFonts w:cs="Times New Roman"/>
        </w:rPr>
        <w:t xml:space="preserve">Turning to the other requirement of the subpoena – that Mr. </w:t>
      </w:r>
      <w:proofErr w:type="spellStart"/>
      <w:r>
        <w:rPr>
          <w:rFonts w:cs="Times New Roman"/>
        </w:rPr>
        <w:t>McGahn</w:t>
      </w:r>
      <w:proofErr w:type="spellEnd"/>
      <w:r>
        <w:rPr>
          <w:rFonts w:cs="Times New Roman"/>
        </w:rPr>
        <w:t xml:space="preserve"> appear before the Committee to provide testimony in two weeks – I fully expect that the Committee will hold Mr. </w:t>
      </w:r>
      <w:proofErr w:type="spellStart"/>
      <w:r>
        <w:rPr>
          <w:rFonts w:cs="Times New Roman"/>
        </w:rPr>
        <w:t>McGahn</w:t>
      </w:r>
      <w:proofErr w:type="spellEnd"/>
      <w:r>
        <w:rPr>
          <w:rFonts w:cs="Times New Roman"/>
        </w:rPr>
        <w:t xml:space="preserve"> in contempt if he fails to appear before the Committee, unless the White house secures a court order directing otherwise.</w:t>
      </w:r>
      <w:r>
        <w:rPr>
          <w:rStyle w:val="FootnoteReference"/>
          <w:rFonts w:cs="Times New Roman"/>
        </w:rPr>
        <w:footnoteReference w:id="8"/>
      </w:r>
      <w:r>
        <w:rPr>
          <w:rFonts w:cs="Times New Roman"/>
        </w:rPr>
        <w:t xml:space="preserve"> Further, even if Mr. </w:t>
      </w:r>
      <w:proofErr w:type="spellStart"/>
      <w:r>
        <w:rPr>
          <w:rFonts w:cs="Times New Roman"/>
        </w:rPr>
        <w:t>McGahn</w:t>
      </w:r>
      <w:proofErr w:type="spellEnd"/>
      <w:r>
        <w:rPr>
          <w:rFonts w:cs="Times New Roman"/>
        </w:rPr>
        <w:t xml:space="preserve"> is authorized by court order to invoke executive privilege as to certain testimony, he still is required by law to “appear before the Committee to provide testimony, and invoke executive privilege where appropriate.”</w:t>
      </w:r>
      <w:r>
        <w:rPr>
          <w:rStyle w:val="FootnoteReference"/>
          <w:rFonts w:cs="Times New Roman"/>
        </w:rPr>
        <w:footnoteReference w:id="9"/>
      </w:r>
    </w:p>
    <w:p w14:paraId="2D7F2524" w14:textId="77777777" w:rsidR="00604FB1" w:rsidRDefault="00604FB1" w:rsidP="00B93AB0">
      <w:pPr>
        <w:jc w:val="both"/>
        <w:rPr>
          <w:rFonts w:cs="Times New Roman"/>
        </w:rPr>
      </w:pPr>
    </w:p>
    <w:p w14:paraId="01C0ADD3" w14:textId="2E59EA1A" w:rsidR="00604FB1" w:rsidRDefault="00604FB1" w:rsidP="00B93AB0">
      <w:pPr>
        <w:jc w:val="both"/>
        <w:rPr>
          <w:rFonts w:cs="Times New Roman"/>
        </w:rPr>
      </w:pPr>
      <w:r>
        <w:rPr>
          <w:rFonts w:cs="Times New Roman"/>
        </w:rPr>
        <w:t>Consistent with the rules of the House of Representatives, and as the Supreme court has admonished, “[a] subpoena has never been treated as an invitation to a game of hare and hounds, in which the witness must testify only if cornered at the end of the chase. If that were the case, then, indeed, the great power of testimonial compulsion, so necessary to the effective functioning of courts and legislatures, would be a nullity.”</w:t>
      </w:r>
      <w:r>
        <w:rPr>
          <w:rStyle w:val="FootnoteReference"/>
          <w:rFonts w:cs="Times New Roman"/>
        </w:rPr>
        <w:footnoteReference w:id="10"/>
      </w:r>
      <w:r>
        <w:rPr>
          <w:rFonts w:cs="Times New Roman"/>
        </w:rPr>
        <w:t xml:space="preserve"> And the Supreme Court has “often iterated the </w:t>
      </w:r>
      <w:r>
        <w:rPr>
          <w:rFonts w:cs="Times New Roman"/>
          <w:b/>
        </w:rPr>
        <w:t>[*3]</w:t>
      </w:r>
      <w:r w:rsidR="00565780">
        <w:rPr>
          <w:rFonts w:cs="Times New Roman"/>
        </w:rPr>
        <w:t xml:space="preserve"> </w:t>
      </w:r>
      <w:r w:rsidR="009E414A">
        <w:rPr>
          <w:rFonts w:cs="Times New Roman"/>
        </w:rPr>
        <w:t>importance of this public duty, which every person within the jurisdiction of the Government is bound to perform when properly summoned.”</w:t>
      </w:r>
      <w:r w:rsidR="009E414A">
        <w:rPr>
          <w:rStyle w:val="FootnoteReference"/>
          <w:rFonts w:cs="Times New Roman"/>
        </w:rPr>
        <w:footnoteReference w:id="11"/>
      </w:r>
    </w:p>
    <w:p w14:paraId="08FF56EA" w14:textId="77777777" w:rsidR="009E414A" w:rsidRDefault="009E414A" w:rsidP="00B93AB0">
      <w:pPr>
        <w:jc w:val="both"/>
        <w:rPr>
          <w:rFonts w:cs="Times New Roman"/>
        </w:rPr>
      </w:pPr>
    </w:p>
    <w:p w14:paraId="46B60328" w14:textId="3035CB4E" w:rsidR="009E414A" w:rsidRDefault="009E414A" w:rsidP="00B93AB0">
      <w:pPr>
        <w:jc w:val="both"/>
        <w:rPr>
          <w:rFonts w:cs="Times New Roman"/>
        </w:rPr>
      </w:pPr>
      <w:r>
        <w:rPr>
          <w:rFonts w:cs="Times New Roman"/>
        </w:rPr>
        <w:t xml:space="preserve">As I am sure you are aware, the President recently declared that he is “fighting </w:t>
      </w:r>
      <w:r>
        <w:rPr>
          <w:rFonts w:cs="Times New Roman"/>
          <w:i/>
        </w:rPr>
        <w:t>all</w:t>
      </w:r>
      <w:r>
        <w:rPr>
          <w:rFonts w:cs="Times New Roman"/>
        </w:rPr>
        <w:t xml:space="preserve"> the subpoenas” issued by Congress, evidently without regard to whether he has any legal basis to do so.</w:t>
      </w:r>
      <w:r>
        <w:rPr>
          <w:rStyle w:val="FootnoteReference"/>
          <w:rFonts w:cs="Times New Roman"/>
        </w:rPr>
        <w:footnoteReference w:id="12"/>
      </w:r>
      <w:r>
        <w:rPr>
          <w:rFonts w:cs="Times New Roman"/>
        </w:rPr>
        <w:t xml:space="preserve"> To be clear, a letter from the White House in service of the President’s apparent goal of blocking or delaying testimony that the President believes would be politically damaging is not a basis for Mr. </w:t>
      </w:r>
      <w:proofErr w:type="spellStart"/>
      <w:r>
        <w:rPr>
          <w:rFonts w:cs="Times New Roman"/>
        </w:rPr>
        <w:t>McGahn</w:t>
      </w:r>
      <w:proofErr w:type="spellEnd"/>
      <w:r>
        <w:rPr>
          <w:rFonts w:cs="Times New Roman"/>
        </w:rPr>
        <w:t xml:space="preserve"> to violate his legal obligation to appear before the Committee. Rather, if the President wishes to block Mr. </w:t>
      </w:r>
      <w:proofErr w:type="spellStart"/>
      <w:r>
        <w:rPr>
          <w:rFonts w:cs="Times New Roman"/>
        </w:rPr>
        <w:t>McGahn’s</w:t>
      </w:r>
      <w:proofErr w:type="spellEnd"/>
      <w:r>
        <w:rPr>
          <w:rFonts w:cs="Times New Roman"/>
        </w:rPr>
        <w:t xml:space="preserve"> appearance in the face of a duly issued subpoena, the burden rests with the White House to file an action in court to attempt to do so.</w:t>
      </w:r>
    </w:p>
    <w:p w14:paraId="0A350CB9" w14:textId="77777777" w:rsidR="009E414A" w:rsidRDefault="009E414A" w:rsidP="00B93AB0">
      <w:pPr>
        <w:jc w:val="both"/>
        <w:rPr>
          <w:rFonts w:cs="Times New Roman"/>
        </w:rPr>
      </w:pPr>
    </w:p>
    <w:p w14:paraId="1AC54EB9" w14:textId="77E13F99" w:rsidR="009E414A" w:rsidRDefault="009E414A" w:rsidP="00B93AB0">
      <w:pPr>
        <w:jc w:val="both"/>
        <w:rPr>
          <w:rFonts w:cs="Times New Roman"/>
        </w:rPr>
      </w:pPr>
      <w:r>
        <w:rPr>
          <w:rFonts w:cs="Times New Roman"/>
        </w:rPr>
        <w:t xml:space="preserve">Moreover, with regard to Mr. </w:t>
      </w:r>
      <w:proofErr w:type="spellStart"/>
      <w:r>
        <w:rPr>
          <w:rFonts w:cs="Times New Roman"/>
        </w:rPr>
        <w:t>McGahn’s</w:t>
      </w:r>
      <w:proofErr w:type="spellEnd"/>
      <w:r>
        <w:rPr>
          <w:rFonts w:cs="Times New Roman"/>
        </w:rPr>
        <w:t xml:space="preserve"> testimonial obligations, there is no valid executive privilege invocation that could be asserted in good faith regarding the subject of the Special Counsel’s investigation and report. President Trump had the opportunity to assert executive privilege over Mr. </w:t>
      </w:r>
      <w:proofErr w:type="spellStart"/>
      <w:r>
        <w:rPr>
          <w:rFonts w:cs="Times New Roman"/>
        </w:rPr>
        <w:t>McGahn’s</w:t>
      </w:r>
      <w:proofErr w:type="spellEnd"/>
      <w:r>
        <w:rPr>
          <w:rFonts w:cs="Times New Roman"/>
        </w:rPr>
        <w:t xml:space="preserve"> interviews with the Special Counsel and, for strategic reasons, “declined to assert any privilege over Mr. </w:t>
      </w:r>
      <w:proofErr w:type="spellStart"/>
      <w:r>
        <w:rPr>
          <w:rFonts w:cs="Times New Roman"/>
        </w:rPr>
        <w:t>McGahn’s</w:t>
      </w:r>
      <w:proofErr w:type="spellEnd"/>
      <w:r>
        <w:rPr>
          <w:rFonts w:cs="Times New Roman"/>
        </w:rPr>
        <w:t xml:space="preserve"> testimony,” allowing Mr. </w:t>
      </w:r>
      <w:proofErr w:type="spellStart"/>
      <w:r>
        <w:rPr>
          <w:rFonts w:cs="Times New Roman"/>
        </w:rPr>
        <w:t>McGahn</w:t>
      </w:r>
      <w:proofErr w:type="spellEnd"/>
      <w:r>
        <w:rPr>
          <w:rFonts w:cs="Times New Roman"/>
        </w:rPr>
        <w:t xml:space="preserve"> to answer the Special Counsel’s questions “fulsomely and honestly.”</w:t>
      </w:r>
      <w:r>
        <w:rPr>
          <w:rStyle w:val="FootnoteReference"/>
          <w:rFonts w:cs="Times New Roman"/>
        </w:rPr>
        <w:footnoteReference w:id="13"/>
      </w:r>
      <w:r w:rsidR="00556039">
        <w:rPr>
          <w:rFonts w:cs="Times New Roman"/>
        </w:rPr>
        <w:t xml:space="preserve"> Ther</w:t>
      </w:r>
      <w:r>
        <w:rPr>
          <w:rFonts w:cs="Times New Roman"/>
        </w:rPr>
        <w:t xml:space="preserve">eafter, the White House made the same strategic decision with regard to publication of the report itself not to assert executive privilege over </w:t>
      </w:r>
      <w:r>
        <w:rPr>
          <w:rFonts w:cs="Times New Roman"/>
          <w:i/>
        </w:rPr>
        <w:t>any</w:t>
      </w:r>
      <w:r>
        <w:rPr>
          <w:rFonts w:cs="Times New Roman"/>
        </w:rPr>
        <w:t xml:space="preserve"> portion of the report, including portions describing Mr. </w:t>
      </w:r>
      <w:proofErr w:type="spellStart"/>
      <w:r>
        <w:rPr>
          <w:rFonts w:cs="Times New Roman"/>
        </w:rPr>
        <w:t>McGahn’s</w:t>
      </w:r>
      <w:proofErr w:type="spellEnd"/>
      <w:r>
        <w:rPr>
          <w:rFonts w:cs="Times New Roman"/>
        </w:rPr>
        <w:t xml:space="preserve"> communications with the President and other senior officials in extensive detail.</w:t>
      </w:r>
      <w:r>
        <w:rPr>
          <w:rStyle w:val="FootnoteReference"/>
          <w:rFonts w:cs="Times New Roman"/>
        </w:rPr>
        <w:footnoteReference w:id="14"/>
      </w:r>
      <w:r>
        <w:rPr>
          <w:rFonts w:cs="Times New Roman"/>
        </w:rPr>
        <w:t xml:space="preserve"> As the D.C. Circuit has already recognized, publication of such information “waives [] privileges for the document or information specifically released.”</w:t>
      </w:r>
      <w:r>
        <w:rPr>
          <w:rStyle w:val="FootnoteReference"/>
          <w:rFonts w:cs="Times New Roman"/>
        </w:rPr>
        <w:footnoteReference w:id="15"/>
      </w:r>
    </w:p>
    <w:p w14:paraId="26027695" w14:textId="77777777" w:rsidR="00962E91" w:rsidRDefault="00962E91" w:rsidP="00B93AB0">
      <w:pPr>
        <w:jc w:val="both"/>
        <w:rPr>
          <w:rFonts w:cs="Times New Roman"/>
        </w:rPr>
      </w:pPr>
    </w:p>
    <w:p w14:paraId="478BF125" w14:textId="1AC89778" w:rsidR="00962E91" w:rsidRDefault="00962E91" w:rsidP="00B93AB0">
      <w:pPr>
        <w:jc w:val="both"/>
        <w:rPr>
          <w:rFonts w:cs="Times New Roman"/>
        </w:rPr>
      </w:pPr>
      <w:r>
        <w:rPr>
          <w:rFonts w:cs="Times New Roman"/>
        </w:rPr>
        <w:t xml:space="preserve">The President and his personal counsel have also routinely commented publicly regarding the President’s communications with Mr. </w:t>
      </w:r>
      <w:proofErr w:type="spellStart"/>
      <w:r>
        <w:rPr>
          <w:rFonts w:cs="Times New Roman"/>
        </w:rPr>
        <w:t>McGahn</w:t>
      </w:r>
      <w:proofErr w:type="spellEnd"/>
      <w:r>
        <w:rPr>
          <w:rFonts w:cs="Times New Roman"/>
        </w:rPr>
        <w:t xml:space="preserve">, and the content of Mr. </w:t>
      </w:r>
      <w:proofErr w:type="spellStart"/>
      <w:r>
        <w:rPr>
          <w:rFonts w:cs="Times New Roman"/>
        </w:rPr>
        <w:t>McGahn’s</w:t>
      </w:r>
      <w:proofErr w:type="spellEnd"/>
      <w:r>
        <w:rPr>
          <w:rFonts w:cs="Times New Roman"/>
        </w:rPr>
        <w:t xml:space="preserve"> testimony to the Special Counsel. By way of example, on April 25, shortly after the Report was released, President Trump denied a central event described by Mr. </w:t>
      </w:r>
      <w:proofErr w:type="spellStart"/>
      <w:r>
        <w:rPr>
          <w:rFonts w:cs="Times New Roman"/>
        </w:rPr>
        <w:t>McGahn</w:t>
      </w:r>
      <w:proofErr w:type="spellEnd"/>
      <w:r>
        <w:rPr>
          <w:rFonts w:cs="Times New Roman"/>
        </w:rPr>
        <w:t xml:space="preserve">, tweeting, “I never told the White House Counsel Don </w:t>
      </w:r>
      <w:proofErr w:type="spellStart"/>
      <w:r>
        <w:rPr>
          <w:rFonts w:cs="Times New Roman"/>
        </w:rPr>
        <w:t>McGahn</w:t>
      </w:r>
      <w:proofErr w:type="spellEnd"/>
      <w:r>
        <w:rPr>
          <w:rFonts w:cs="Times New Roman"/>
        </w:rPr>
        <w:t xml:space="preserve"> to fire Robert Mueller.”</w:t>
      </w:r>
      <w:r>
        <w:rPr>
          <w:rStyle w:val="FootnoteReference"/>
          <w:rFonts w:cs="Times New Roman"/>
        </w:rPr>
        <w:footnoteReference w:id="16"/>
      </w:r>
      <w:r>
        <w:rPr>
          <w:rFonts w:cs="Times New Roman"/>
        </w:rPr>
        <w:t xml:space="preserve"> As has long been recognized, no person—not even the President—can employ privilege as both a sword and a shield, selectively cherry picking which information to tout publicly in his defense, and which information to deliberately withhold from the American people.</w:t>
      </w:r>
      <w:r>
        <w:rPr>
          <w:rStyle w:val="FootnoteReference"/>
          <w:rFonts w:cs="Times New Roman"/>
        </w:rPr>
        <w:footnoteReference w:id="17"/>
      </w:r>
    </w:p>
    <w:p w14:paraId="1FE203D1" w14:textId="77777777" w:rsidR="00360316" w:rsidRDefault="00360316" w:rsidP="00B93AB0">
      <w:pPr>
        <w:jc w:val="both"/>
        <w:rPr>
          <w:rFonts w:cs="Times New Roman"/>
        </w:rPr>
      </w:pPr>
    </w:p>
    <w:p w14:paraId="3CB92A31" w14:textId="4E4C6690" w:rsidR="00360316" w:rsidRDefault="00360316" w:rsidP="00B93AB0">
      <w:pPr>
        <w:jc w:val="both"/>
        <w:rPr>
          <w:rFonts w:cs="Times New Roman"/>
        </w:rPr>
      </w:pPr>
      <w:r>
        <w:rPr>
          <w:rFonts w:cs="Times New Roman"/>
          <w:b/>
        </w:rPr>
        <w:t>[*4]</w:t>
      </w:r>
      <w:r>
        <w:rPr>
          <w:rFonts w:cs="Times New Roman"/>
        </w:rPr>
        <w:t xml:space="preserve"> Lastly, </w:t>
      </w:r>
      <w:proofErr w:type="gramStart"/>
      <w:r>
        <w:rPr>
          <w:rFonts w:cs="Times New Roman"/>
        </w:rPr>
        <w:t>this Committee is currently engaged in an investigation into alleged obstruction of justice, public corruption and other abuses of power by the President and his administration</w:t>
      </w:r>
      <w:proofErr w:type="gramEnd"/>
      <w:r>
        <w:rPr>
          <w:rFonts w:cs="Times New Roman"/>
        </w:rPr>
        <w:t xml:space="preserve">. Even in its redacted form, the Special Counsel’s report offers substantial evidence and analysis that the President did, in fact, engage in multiple acts of obstruction. Mr. </w:t>
      </w:r>
      <w:proofErr w:type="spellStart"/>
      <w:r>
        <w:rPr>
          <w:rFonts w:cs="Times New Roman"/>
        </w:rPr>
        <w:t>McGahn</w:t>
      </w:r>
      <w:proofErr w:type="spellEnd"/>
      <w:r>
        <w:rPr>
          <w:rFonts w:cs="Times New Roman"/>
        </w:rPr>
        <w:t xml:space="preserve"> provided critical information that appears throughout Volume II of the Special Counsel’s report, detailing incidents in which, </w:t>
      </w:r>
      <w:r>
        <w:rPr>
          <w:rFonts w:cs="Times New Roman"/>
          <w:i/>
        </w:rPr>
        <w:t>inter alia</w:t>
      </w:r>
      <w:r>
        <w:rPr>
          <w:rFonts w:cs="Times New Roman"/>
        </w:rPr>
        <w:t>, the President: sought to stop former Attorney General Sessions from recusing himself from the Russia investigation and then to have Sessions reverse his recusal decision</w:t>
      </w:r>
      <w:r>
        <w:rPr>
          <w:rStyle w:val="FootnoteReference"/>
          <w:rFonts w:cs="Times New Roman"/>
        </w:rPr>
        <w:footnoteReference w:id="18"/>
      </w:r>
      <w:r>
        <w:rPr>
          <w:rFonts w:cs="Times New Roman"/>
        </w:rPr>
        <w:t xml:space="preserve">; directed Mr. </w:t>
      </w:r>
      <w:proofErr w:type="spellStart"/>
      <w:r>
        <w:rPr>
          <w:rFonts w:cs="Times New Roman"/>
        </w:rPr>
        <w:t>McGahn</w:t>
      </w:r>
      <w:proofErr w:type="spellEnd"/>
      <w:r>
        <w:rPr>
          <w:rFonts w:cs="Times New Roman"/>
        </w:rPr>
        <w:t xml:space="preserve"> to have Special Counsel Mueller fired</w:t>
      </w:r>
      <w:r>
        <w:rPr>
          <w:rStyle w:val="FootnoteReference"/>
          <w:rFonts w:cs="Times New Roman"/>
        </w:rPr>
        <w:footnoteReference w:id="19"/>
      </w:r>
      <w:r>
        <w:rPr>
          <w:rFonts w:cs="Times New Roman"/>
        </w:rPr>
        <w:t xml:space="preserve">; directed Mr. </w:t>
      </w:r>
      <w:proofErr w:type="spellStart"/>
      <w:r>
        <w:rPr>
          <w:rFonts w:cs="Times New Roman"/>
        </w:rPr>
        <w:t>McGahn</w:t>
      </w:r>
      <w:proofErr w:type="spellEnd"/>
      <w:r>
        <w:rPr>
          <w:rFonts w:cs="Times New Roman"/>
        </w:rPr>
        <w:t xml:space="preserve"> to deny that attempted firing</w:t>
      </w:r>
      <w:r>
        <w:rPr>
          <w:rStyle w:val="FootnoteReference"/>
          <w:rFonts w:cs="Times New Roman"/>
        </w:rPr>
        <w:footnoteReference w:id="20"/>
      </w:r>
      <w:r>
        <w:rPr>
          <w:rFonts w:cs="Times New Roman"/>
        </w:rPr>
        <w:t>; and sought to curtail the scope of the Special Counsel’s inv</w:t>
      </w:r>
      <w:r w:rsidR="00885AEF">
        <w:rPr>
          <w:rFonts w:cs="Times New Roman"/>
        </w:rPr>
        <w:t>e</w:t>
      </w:r>
      <w:r>
        <w:rPr>
          <w:rFonts w:cs="Times New Roman"/>
        </w:rPr>
        <w:t>stigation.</w:t>
      </w:r>
      <w:r>
        <w:rPr>
          <w:rStyle w:val="FootnoteReference"/>
          <w:rFonts w:cs="Times New Roman"/>
        </w:rPr>
        <w:footnoteReference w:id="21"/>
      </w:r>
      <w:r>
        <w:rPr>
          <w:rFonts w:cs="Times New Roman"/>
        </w:rPr>
        <w:t xml:space="preserve"> Where, as here, there is substantial evidence </w:t>
      </w:r>
      <w:r w:rsidR="00F02CCA">
        <w:rPr>
          <w:rFonts w:cs="Times New Roman"/>
        </w:rPr>
        <w:t>indicating that the President engaged in such misconduct, the public interest in the “fair administration of justice” outweighs the President’s “generalized interest in confidentiality."</w:t>
      </w:r>
      <w:r w:rsidR="00F02CCA">
        <w:rPr>
          <w:rStyle w:val="FootnoteReference"/>
          <w:rFonts w:cs="Times New Roman"/>
        </w:rPr>
        <w:footnoteReference w:id="22"/>
      </w:r>
    </w:p>
    <w:p w14:paraId="424B21C1" w14:textId="77777777" w:rsidR="00F02CCA" w:rsidRDefault="00F02CCA" w:rsidP="00B93AB0">
      <w:pPr>
        <w:jc w:val="both"/>
        <w:rPr>
          <w:rFonts w:cs="Times New Roman"/>
        </w:rPr>
      </w:pPr>
    </w:p>
    <w:p w14:paraId="575AB64A" w14:textId="4E10122B" w:rsidR="00F02CCA" w:rsidRDefault="00F02CCA" w:rsidP="00B93AB0">
      <w:pPr>
        <w:jc w:val="both"/>
        <w:rPr>
          <w:rFonts w:cs="Times New Roman"/>
        </w:rPr>
      </w:pPr>
      <w:r>
        <w:rPr>
          <w:rFonts w:cs="Times New Roman"/>
        </w:rPr>
        <w:t xml:space="preserve">For all these reasons, Mr. </w:t>
      </w:r>
      <w:proofErr w:type="spellStart"/>
      <w:r>
        <w:rPr>
          <w:rFonts w:cs="Times New Roman"/>
        </w:rPr>
        <w:t>McGahn</w:t>
      </w:r>
      <w:proofErr w:type="spellEnd"/>
      <w:r>
        <w:rPr>
          <w:rFonts w:cs="Times New Roman"/>
        </w:rPr>
        <w:t xml:space="preserve"> is required to appear and provide testimony before the Committee absent a court order authorizing non-compliance, as well as provide a privilege log for any documents withheld. Otherwise, the Committee will have no choice but to resort to contempt proceedings to ensure that it has access to the information it requires </w:t>
      </w:r>
      <w:proofErr w:type="gramStart"/>
      <w:r>
        <w:rPr>
          <w:rFonts w:cs="Times New Roman"/>
        </w:rPr>
        <w:t>to fulfill</w:t>
      </w:r>
      <w:proofErr w:type="gramEnd"/>
      <w:r>
        <w:rPr>
          <w:rFonts w:cs="Times New Roman"/>
        </w:rPr>
        <w:t xml:space="preserve"> its constitutionally mandated duties.</w:t>
      </w:r>
    </w:p>
    <w:p w14:paraId="6A2777F8" w14:textId="77777777" w:rsidR="002E0DE3" w:rsidRDefault="002E0DE3" w:rsidP="00B93AB0">
      <w:pPr>
        <w:jc w:val="both"/>
        <w:rPr>
          <w:rFonts w:cs="Times New Roman"/>
        </w:rPr>
      </w:pPr>
    </w:p>
    <w:p w14:paraId="07324F6C" w14:textId="78926978" w:rsidR="002E0DE3" w:rsidRDefault="002E0DE3" w:rsidP="00B93AB0">
      <w:pPr>
        <w:jc w:val="both"/>
        <w:rPr>
          <w:rFonts w:cs="Times New Roman"/>
        </w:rPr>
      </w:pPr>
    </w:p>
    <w:p w14:paraId="23E51AE1" w14:textId="1A6B3BB0" w:rsidR="002E0DE3" w:rsidRDefault="002E0DE3" w:rsidP="00B93AB0">
      <w:pPr>
        <w:jc w:val="both"/>
        <w:rPr>
          <w:rFonts w:cs="Times New Roman"/>
        </w:rPr>
      </w:pPr>
      <w:r>
        <w:rPr>
          <w:rFonts w:cs="Times New Roman"/>
        </w:rPr>
        <w:t>Sincerely,</w:t>
      </w:r>
    </w:p>
    <w:p w14:paraId="2744EE00" w14:textId="77777777" w:rsidR="002E0DE3" w:rsidRDefault="002E0DE3" w:rsidP="00B93AB0">
      <w:pPr>
        <w:jc w:val="both"/>
        <w:rPr>
          <w:rFonts w:cs="Times New Roman"/>
        </w:rPr>
      </w:pPr>
    </w:p>
    <w:p w14:paraId="1EDD7F91" w14:textId="1BAA7C42" w:rsidR="002E0DE3" w:rsidRDefault="002E0DE3" w:rsidP="00B93AB0">
      <w:pPr>
        <w:jc w:val="both"/>
        <w:rPr>
          <w:rFonts w:cs="Times New Roman"/>
        </w:rPr>
      </w:pPr>
      <w:r>
        <w:rPr>
          <w:rFonts w:cs="Times New Roman"/>
        </w:rPr>
        <w:t>/s/Jerrold Nadler</w:t>
      </w:r>
    </w:p>
    <w:p w14:paraId="3273B318" w14:textId="69047536" w:rsidR="002E0DE3" w:rsidRDefault="002E0DE3" w:rsidP="00B93AB0">
      <w:pPr>
        <w:jc w:val="both"/>
        <w:rPr>
          <w:rFonts w:cs="Times New Roman"/>
        </w:rPr>
      </w:pPr>
      <w:r>
        <w:rPr>
          <w:rFonts w:cs="Times New Roman"/>
        </w:rPr>
        <w:t>Jerrold Nadler</w:t>
      </w:r>
    </w:p>
    <w:p w14:paraId="766DAFF6" w14:textId="1D6B3E9A" w:rsidR="002E0DE3" w:rsidRDefault="002E0DE3" w:rsidP="00B93AB0">
      <w:pPr>
        <w:jc w:val="both"/>
        <w:rPr>
          <w:rFonts w:cs="Times New Roman"/>
        </w:rPr>
      </w:pPr>
      <w:r>
        <w:rPr>
          <w:rFonts w:cs="Times New Roman"/>
        </w:rPr>
        <w:t>Chairman</w:t>
      </w:r>
    </w:p>
    <w:p w14:paraId="6B119AC4" w14:textId="09645833" w:rsidR="002E0DE3" w:rsidRDefault="002E0DE3" w:rsidP="00B93AB0">
      <w:pPr>
        <w:jc w:val="both"/>
        <w:rPr>
          <w:rFonts w:cs="Times New Roman"/>
        </w:rPr>
      </w:pPr>
      <w:r>
        <w:rPr>
          <w:rFonts w:cs="Times New Roman"/>
        </w:rPr>
        <w:t>House Committee on the Judiciary</w:t>
      </w:r>
    </w:p>
    <w:p w14:paraId="364D54EA" w14:textId="77777777" w:rsidR="002E0DE3" w:rsidRDefault="002E0DE3" w:rsidP="00B93AB0">
      <w:pPr>
        <w:jc w:val="both"/>
        <w:rPr>
          <w:rFonts w:cs="Times New Roman"/>
        </w:rPr>
      </w:pPr>
    </w:p>
    <w:p w14:paraId="7DC46FBC" w14:textId="77777777" w:rsidR="002E0DE3" w:rsidRDefault="002E0DE3" w:rsidP="00B93AB0">
      <w:pPr>
        <w:jc w:val="both"/>
        <w:rPr>
          <w:rFonts w:cs="Times New Roman"/>
        </w:rPr>
      </w:pPr>
    </w:p>
    <w:p w14:paraId="73FF72FC" w14:textId="3052EC1C" w:rsidR="002E0DE3" w:rsidRDefault="002E0DE3" w:rsidP="00B93AB0">
      <w:pPr>
        <w:jc w:val="both"/>
        <w:rPr>
          <w:rFonts w:cs="Times New Roman"/>
        </w:rPr>
      </w:pPr>
      <w:r>
        <w:rPr>
          <w:rFonts w:cs="Times New Roman"/>
        </w:rPr>
        <w:t>cc:</w:t>
      </w:r>
      <w:r>
        <w:rPr>
          <w:rFonts w:cs="Times New Roman"/>
        </w:rPr>
        <w:tab/>
        <w:t>Doug Collins</w:t>
      </w:r>
    </w:p>
    <w:p w14:paraId="06C0DFB6" w14:textId="345E1846" w:rsidR="002E0DE3" w:rsidRDefault="002E0DE3" w:rsidP="00B93AB0">
      <w:pPr>
        <w:jc w:val="both"/>
        <w:rPr>
          <w:rFonts w:cs="Times New Roman"/>
        </w:rPr>
      </w:pPr>
      <w:r>
        <w:rPr>
          <w:rFonts w:cs="Times New Roman"/>
        </w:rPr>
        <w:tab/>
        <w:t>Ranking Member</w:t>
      </w:r>
    </w:p>
    <w:p w14:paraId="7838C157" w14:textId="6A22253E" w:rsidR="002E0DE3" w:rsidRPr="00360316" w:rsidRDefault="002E0DE3" w:rsidP="00B93AB0">
      <w:pPr>
        <w:jc w:val="both"/>
        <w:rPr>
          <w:rFonts w:cs="Times New Roman"/>
        </w:rPr>
      </w:pPr>
      <w:r>
        <w:rPr>
          <w:rFonts w:cs="Times New Roman"/>
        </w:rPr>
        <w:tab/>
        <w:t>Hous</w:t>
      </w:r>
      <w:r w:rsidR="00116B73">
        <w:rPr>
          <w:rFonts w:cs="Times New Roman"/>
        </w:rPr>
        <w:t>e</w:t>
      </w:r>
      <w:r>
        <w:rPr>
          <w:rFonts w:cs="Times New Roman"/>
        </w:rPr>
        <w:t xml:space="preserve"> Committee on the Judiciary</w:t>
      </w:r>
    </w:p>
    <w:p w14:paraId="6DAD5F86" w14:textId="77777777" w:rsidR="00B93AB0" w:rsidRPr="003A2CA0" w:rsidRDefault="00B93AB0" w:rsidP="00B93AB0">
      <w:pPr>
        <w:jc w:val="both"/>
        <w:rPr>
          <w:rFonts w:cs="Times New Roman"/>
        </w:rPr>
      </w:pPr>
    </w:p>
    <w:sectPr w:rsidR="00B93AB0" w:rsidRPr="003A2CA0" w:rsidSect="003E5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BFCFA" w14:textId="77777777" w:rsidR="00231916" w:rsidRDefault="00231916" w:rsidP="00231916">
      <w:r>
        <w:separator/>
      </w:r>
    </w:p>
  </w:endnote>
  <w:endnote w:type="continuationSeparator" w:id="0">
    <w:p w14:paraId="56C3E740" w14:textId="77777777" w:rsidR="00231916" w:rsidRDefault="00231916" w:rsidP="0023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Old English Fiv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FEAB5" w14:textId="77777777" w:rsidR="00231916" w:rsidRDefault="00231916" w:rsidP="00231916">
      <w:r>
        <w:separator/>
      </w:r>
    </w:p>
  </w:footnote>
  <w:footnote w:type="continuationSeparator" w:id="0">
    <w:p w14:paraId="37822B49" w14:textId="77777777" w:rsidR="00231916" w:rsidRDefault="00231916" w:rsidP="00231916">
      <w:r>
        <w:continuationSeparator/>
      </w:r>
    </w:p>
  </w:footnote>
  <w:footnote w:id="1">
    <w:p w14:paraId="21CA4466" w14:textId="00542D0B" w:rsidR="00231916" w:rsidRPr="00116B73" w:rsidRDefault="00231916" w:rsidP="00116B73">
      <w:pPr>
        <w:pStyle w:val="FootnoteText"/>
        <w:jc w:val="both"/>
        <w:rPr>
          <w:sz w:val="20"/>
          <w:szCs w:val="20"/>
        </w:rPr>
      </w:pPr>
      <w:r w:rsidRPr="00116B73">
        <w:rPr>
          <w:rStyle w:val="FootnoteReference"/>
          <w:sz w:val="20"/>
          <w:szCs w:val="20"/>
        </w:rPr>
        <w:footnoteRef/>
      </w:r>
      <w:r w:rsidRPr="00116B73">
        <w:rPr>
          <w:sz w:val="20"/>
          <w:szCs w:val="20"/>
        </w:rPr>
        <w:t xml:space="preserve"> </w:t>
      </w:r>
      <w:proofErr w:type="gramStart"/>
      <w:r w:rsidR="006770FE" w:rsidRPr="00116B73">
        <w:rPr>
          <w:sz w:val="20"/>
          <w:szCs w:val="20"/>
        </w:rPr>
        <w:t xml:space="preserve">Letter to Chairman Nadler from Pat A. </w:t>
      </w:r>
      <w:proofErr w:type="spellStart"/>
      <w:r w:rsidR="006770FE" w:rsidRPr="00116B73">
        <w:rPr>
          <w:sz w:val="20"/>
          <w:szCs w:val="20"/>
        </w:rPr>
        <w:t>Cipollone</w:t>
      </w:r>
      <w:proofErr w:type="spellEnd"/>
      <w:r w:rsidR="006770FE" w:rsidRPr="00116B73">
        <w:rPr>
          <w:sz w:val="20"/>
          <w:szCs w:val="20"/>
        </w:rPr>
        <w:t xml:space="preserve"> (May 7, 2019) (</w:t>
      </w:r>
      <w:r w:rsidR="006770FE" w:rsidRPr="00116B73">
        <w:rPr>
          <w:i/>
          <w:sz w:val="20"/>
          <w:szCs w:val="20"/>
        </w:rPr>
        <w:t>emphasis added</w:t>
      </w:r>
      <w:r w:rsidR="006770FE" w:rsidRPr="00116B73">
        <w:rPr>
          <w:sz w:val="20"/>
          <w:szCs w:val="20"/>
        </w:rPr>
        <w:t>).</w:t>
      </w:r>
      <w:proofErr w:type="gramEnd"/>
    </w:p>
  </w:footnote>
  <w:footnote w:id="2">
    <w:p w14:paraId="0813E622" w14:textId="1E6146CC" w:rsidR="00514021" w:rsidRPr="00116B73" w:rsidRDefault="00514021" w:rsidP="00116B73">
      <w:pPr>
        <w:pStyle w:val="FootnoteText"/>
        <w:jc w:val="both"/>
        <w:rPr>
          <w:sz w:val="20"/>
          <w:szCs w:val="20"/>
        </w:rPr>
      </w:pPr>
      <w:r w:rsidRPr="00116B73">
        <w:rPr>
          <w:rStyle w:val="FootnoteReference"/>
          <w:sz w:val="20"/>
          <w:szCs w:val="20"/>
        </w:rPr>
        <w:footnoteRef/>
      </w:r>
      <w:r w:rsidRPr="00116B73">
        <w:rPr>
          <w:sz w:val="20"/>
          <w:szCs w:val="20"/>
        </w:rPr>
        <w:t xml:space="preserve"> </w:t>
      </w:r>
      <w:proofErr w:type="spellStart"/>
      <w:r w:rsidR="006770FE" w:rsidRPr="00116B73">
        <w:rPr>
          <w:sz w:val="20"/>
          <w:szCs w:val="20"/>
        </w:rPr>
        <w:t>Mem</w:t>
      </w:r>
      <w:proofErr w:type="spellEnd"/>
      <w:r w:rsidR="006770FE" w:rsidRPr="00116B73">
        <w:rPr>
          <w:sz w:val="20"/>
          <w:szCs w:val="20"/>
        </w:rPr>
        <w:t xml:space="preserve">. Op., </w:t>
      </w:r>
      <w:r w:rsidR="006770FE" w:rsidRPr="00116B73">
        <w:rPr>
          <w:i/>
          <w:sz w:val="20"/>
          <w:szCs w:val="20"/>
        </w:rPr>
        <w:t xml:space="preserve">Comm. on Judiciary v. </w:t>
      </w:r>
      <w:proofErr w:type="spellStart"/>
      <w:r w:rsidR="006770FE" w:rsidRPr="00116B73">
        <w:rPr>
          <w:i/>
          <w:sz w:val="20"/>
          <w:szCs w:val="20"/>
        </w:rPr>
        <w:t>Miers</w:t>
      </w:r>
      <w:proofErr w:type="spellEnd"/>
      <w:r w:rsidR="006770FE" w:rsidRPr="00116B73">
        <w:rPr>
          <w:sz w:val="20"/>
          <w:szCs w:val="20"/>
        </w:rPr>
        <w:t>, No. 08-cv-0409-JDB (</w:t>
      </w:r>
      <w:proofErr w:type="spellStart"/>
      <w:r w:rsidR="006770FE" w:rsidRPr="00116B73">
        <w:rPr>
          <w:sz w:val="20"/>
          <w:szCs w:val="20"/>
        </w:rPr>
        <w:t>D.D.C</w:t>
      </w:r>
      <w:proofErr w:type="spellEnd"/>
      <w:r w:rsidR="006770FE" w:rsidRPr="00116B73">
        <w:rPr>
          <w:sz w:val="20"/>
          <w:szCs w:val="20"/>
        </w:rPr>
        <w:t>. Jul. 31, 2008), at 91 (emphasis added).</w:t>
      </w:r>
    </w:p>
  </w:footnote>
  <w:footnote w:id="3">
    <w:p w14:paraId="33756F78" w14:textId="14E5C44C" w:rsidR="00514021" w:rsidRPr="00116B73" w:rsidRDefault="00514021" w:rsidP="00116B73">
      <w:pPr>
        <w:pStyle w:val="FootnoteText"/>
        <w:jc w:val="both"/>
        <w:rPr>
          <w:sz w:val="20"/>
          <w:szCs w:val="20"/>
        </w:rPr>
      </w:pPr>
      <w:r w:rsidRPr="00116B73">
        <w:rPr>
          <w:rStyle w:val="FootnoteReference"/>
          <w:sz w:val="20"/>
          <w:szCs w:val="20"/>
        </w:rPr>
        <w:footnoteRef/>
      </w:r>
      <w:r w:rsidRPr="00116B73">
        <w:rPr>
          <w:sz w:val="20"/>
          <w:szCs w:val="20"/>
        </w:rPr>
        <w:t xml:space="preserve"> </w:t>
      </w:r>
      <w:proofErr w:type="gramStart"/>
      <w:r w:rsidR="006770FE" w:rsidRPr="00116B73">
        <w:rPr>
          <w:i/>
          <w:sz w:val="20"/>
          <w:szCs w:val="20"/>
        </w:rPr>
        <w:t xml:space="preserve">Committee on the Judiciary, U.S. House of Representatives v. </w:t>
      </w:r>
      <w:proofErr w:type="spellStart"/>
      <w:r w:rsidR="006770FE" w:rsidRPr="00116B73">
        <w:rPr>
          <w:i/>
          <w:sz w:val="20"/>
          <w:szCs w:val="20"/>
        </w:rPr>
        <w:t>Miers</w:t>
      </w:r>
      <w:proofErr w:type="spellEnd"/>
      <w:r w:rsidR="006770FE" w:rsidRPr="00116B73">
        <w:rPr>
          <w:sz w:val="20"/>
          <w:szCs w:val="20"/>
        </w:rPr>
        <w:t>, 558 F. Supp. 2d 53 (</w:t>
      </w:r>
      <w:proofErr w:type="spellStart"/>
      <w:r w:rsidR="006770FE" w:rsidRPr="00116B73">
        <w:rPr>
          <w:sz w:val="20"/>
          <w:szCs w:val="20"/>
        </w:rPr>
        <w:t>D.D.C</w:t>
      </w:r>
      <w:proofErr w:type="spellEnd"/>
      <w:r w:rsidR="006770FE" w:rsidRPr="00116B73">
        <w:rPr>
          <w:sz w:val="20"/>
          <w:szCs w:val="20"/>
        </w:rPr>
        <w:t>. 2008).</w:t>
      </w:r>
      <w:proofErr w:type="gramEnd"/>
    </w:p>
  </w:footnote>
  <w:footnote w:id="4">
    <w:p w14:paraId="31A813F4" w14:textId="53DA2030" w:rsidR="00ED642C" w:rsidRPr="00116B73" w:rsidRDefault="00ED642C" w:rsidP="00116B73">
      <w:pPr>
        <w:pStyle w:val="FootnoteText"/>
        <w:jc w:val="both"/>
        <w:rPr>
          <w:sz w:val="20"/>
          <w:szCs w:val="20"/>
        </w:rPr>
      </w:pPr>
      <w:r w:rsidRPr="00116B73">
        <w:rPr>
          <w:rStyle w:val="FootnoteReference"/>
          <w:sz w:val="20"/>
          <w:szCs w:val="20"/>
        </w:rPr>
        <w:footnoteRef/>
      </w:r>
      <w:r w:rsidRPr="00116B73">
        <w:rPr>
          <w:sz w:val="20"/>
          <w:szCs w:val="20"/>
        </w:rPr>
        <w:t xml:space="preserve"> </w:t>
      </w:r>
      <w:proofErr w:type="gramStart"/>
      <w:r w:rsidR="00565780" w:rsidRPr="00116B73">
        <w:rPr>
          <w:i/>
          <w:sz w:val="20"/>
          <w:szCs w:val="20"/>
        </w:rPr>
        <w:t>In re Sealed Case</w:t>
      </w:r>
      <w:r w:rsidR="00565780" w:rsidRPr="00116B73">
        <w:rPr>
          <w:sz w:val="20"/>
          <w:szCs w:val="20"/>
        </w:rPr>
        <w:t>, 121 F.3d 729, 741-42 (D.C. Cir. 1997).</w:t>
      </w:r>
      <w:proofErr w:type="gramEnd"/>
    </w:p>
  </w:footnote>
  <w:footnote w:id="5">
    <w:p w14:paraId="5E3E4C46" w14:textId="7211BC5C" w:rsidR="00ED642C" w:rsidRPr="00116B73" w:rsidRDefault="00ED642C"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565780" w:rsidRPr="00116B73">
        <w:rPr>
          <w:i/>
          <w:sz w:val="20"/>
          <w:szCs w:val="20"/>
        </w:rPr>
        <w:t>See id</w:t>
      </w:r>
      <w:r w:rsidR="00565780" w:rsidRPr="00116B73">
        <w:rPr>
          <w:sz w:val="20"/>
          <w:szCs w:val="20"/>
        </w:rPr>
        <w:t>.</w:t>
      </w:r>
    </w:p>
  </w:footnote>
  <w:footnote w:id="6">
    <w:p w14:paraId="578C27EA" w14:textId="61408E4A" w:rsidR="009D1FEC" w:rsidRPr="00116B73" w:rsidRDefault="009D1FEC"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D654D6" w:rsidRPr="00116B73">
        <w:rPr>
          <w:sz w:val="20"/>
          <w:szCs w:val="20"/>
        </w:rPr>
        <w:t xml:space="preserve">Subpoena by Authority of the House of Representatives of the United States of America to Donald F. </w:t>
      </w:r>
      <w:proofErr w:type="spellStart"/>
      <w:r w:rsidR="00D654D6" w:rsidRPr="00116B73">
        <w:rPr>
          <w:sz w:val="20"/>
          <w:szCs w:val="20"/>
        </w:rPr>
        <w:t>McGahn</w:t>
      </w:r>
      <w:proofErr w:type="spellEnd"/>
      <w:r w:rsidR="00D654D6" w:rsidRPr="00116B73">
        <w:rPr>
          <w:sz w:val="20"/>
          <w:szCs w:val="20"/>
        </w:rPr>
        <w:t xml:space="preserve"> for documents and testimony, signed by Representative Jerrold Nadler, April 22, 2019.</w:t>
      </w:r>
    </w:p>
  </w:footnote>
  <w:footnote w:id="7">
    <w:p w14:paraId="24862572" w14:textId="049F9496" w:rsidR="00F1679E" w:rsidRPr="00116B73" w:rsidRDefault="00F1679E"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D654D6" w:rsidRPr="00116B73">
        <w:rPr>
          <w:i/>
          <w:sz w:val="20"/>
          <w:szCs w:val="20"/>
        </w:rPr>
        <w:t>Id</w:t>
      </w:r>
      <w:r w:rsidR="00D654D6" w:rsidRPr="00116B73">
        <w:rPr>
          <w:sz w:val="20"/>
          <w:szCs w:val="20"/>
        </w:rPr>
        <w:t>.</w:t>
      </w:r>
    </w:p>
  </w:footnote>
  <w:footnote w:id="8">
    <w:p w14:paraId="39DDAA6B" w14:textId="2D9E9594" w:rsidR="00604FB1" w:rsidRPr="00116B73" w:rsidRDefault="00604FB1"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D654D6" w:rsidRPr="00116B73">
        <w:rPr>
          <w:i/>
          <w:sz w:val="20"/>
          <w:szCs w:val="20"/>
        </w:rPr>
        <w:t>See, e.g., United States v. Bryan</w:t>
      </w:r>
      <w:r w:rsidR="00D654D6" w:rsidRPr="00116B73">
        <w:rPr>
          <w:sz w:val="20"/>
          <w:szCs w:val="20"/>
        </w:rPr>
        <w:t>, 339 U.S. 323, 332 (1950) (reasoning that a party cannot fail to comply with a subpoena absent a “return of the writ” providing reasons for non-compliance, because to “deny the Committee the opportunity to consider the objection or remedy it is in itself a contempt of its authority and an obstruction of its processes”).</w:t>
      </w:r>
    </w:p>
  </w:footnote>
  <w:footnote w:id="9">
    <w:p w14:paraId="3C443902" w14:textId="1E85EB7D" w:rsidR="00604FB1" w:rsidRPr="00116B73" w:rsidRDefault="00604FB1" w:rsidP="00116B73">
      <w:pPr>
        <w:pStyle w:val="FootnoteText"/>
        <w:jc w:val="both"/>
        <w:rPr>
          <w:sz w:val="20"/>
          <w:szCs w:val="20"/>
        </w:rPr>
      </w:pPr>
      <w:r w:rsidRPr="00116B73">
        <w:rPr>
          <w:rStyle w:val="FootnoteReference"/>
          <w:sz w:val="20"/>
          <w:szCs w:val="20"/>
        </w:rPr>
        <w:footnoteRef/>
      </w:r>
      <w:r w:rsidRPr="00116B73">
        <w:rPr>
          <w:sz w:val="20"/>
          <w:szCs w:val="20"/>
        </w:rPr>
        <w:t xml:space="preserve"> </w:t>
      </w:r>
      <w:proofErr w:type="spellStart"/>
      <w:proofErr w:type="gramStart"/>
      <w:r w:rsidR="008C6769" w:rsidRPr="00116B73">
        <w:rPr>
          <w:i/>
          <w:sz w:val="20"/>
          <w:szCs w:val="20"/>
        </w:rPr>
        <w:t>Miers</w:t>
      </w:r>
      <w:proofErr w:type="spellEnd"/>
      <w:r w:rsidR="008C6769" w:rsidRPr="00116B73">
        <w:rPr>
          <w:sz w:val="20"/>
          <w:szCs w:val="20"/>
        </w:rPr>
        <w:t>, 558 F. Supp. 2d 53, 106 (</w:t>
      </w:r>
      <w:proofErr w:type="spellStart"/>
      <w:r w:rsidR="008C6769" w:rsidRPr="00116B73">
        <w:rPr>
          <w:sz w:val="20"/>
          <w:szCs w:val="20"/>
        </w:rPr>
        <w:t>D.D.C</w:t>
      </w:r>
      <w:proofErr w:type="spellEnd"/>
      <w:r w:rsidR="008C6769" w:rsidRPr="00116B73">
        <w:rPr>
          <w:sz w:val="20"/>
          <w:szCs w:val="20"/>
        </w:rPr>
        <w:t>. 2008)</w:t>
      </w:r>
      <w:r w:rsidR="002A591B" w:rsidRPr="00116B73">
        <w:rPr>
          <w:sz w:val="20"/>
          <w:szCs w:val="20"/>
        </w:rPr>
        <w:t>.</w:t>
      </w:r>
      <w:proofErr w:type="gramEnd"/>
    </w:p>
  </w:footnote>
  <w:footnote w:id="10">
    <w:p w14:paraId="6A50F245" w14:textId="12A7E4D1" w:rsidR="00604FB1" w:rsidRPr="00116B73" w:rsidRDefault="00604FB1" w:rsidP="00116B73">
      <w:pPr>
        <w:pStyle w:val="FootnoteText"/>
        <w:jc w:val="both"/>
        <w:rPr>
          <w:sz w:val="20"/>
          <w:szCs w:val="20"/>
        </w:rPr>
      </w:pPr>
      <w:r w:rsidRPr="00116B73">
        <w:rPr>
          <w:rStyle w:val="FootnoteReference"/>
          <w:sz w:val="20"/>
          <w:szCs w:val="20"/>
        </w:rPr>
        <w:footnoteRef/>
      </w:r>
      <w:r w:rsidRPr="00116B73">
        <w:rPr>
          <w:sz w:val="20"/>
          <w:szCs w:val="20"/>
        </w:rPr>
        <w:t xml:space="preserve"> </w:t>
      </w:r>
      <w:proofErr w:type="gramStart"/>
      <w:r w:rsidR="002A591B" w:rsidRPr="00116B73">
        <w:rPr>
          <w:i/>
          <w:sz w:val="20"/>
          <w:szCs w:val="20"/>
        </w:rPr>
        <w:t>Bryan</w:t>
      </w:r>
      <w:r w:rsidR="002A591B" w:rsidRPr="00116B73">
        <w:rPr>
          <w:sz w:val="20"/>
          <w:szCs w:val="20"/>
        </w:rPr>
        <w:t>, 339 U.S. at 331.</w:t>
      </w:r>
      <w:proofErr w:type="gramEnd"/>
    </w:p>
  </w:footnote>
  <w:footnote w:id="11">
    <w:p w14:paraId="4A76A87C" w14:textId="0652D658" w:rsidR="009E414A" w:rsidRPr="00116B73" w:rsidRDefault="009E414A"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962E91" w:rsidRPr="00116B73">
        <w:rPr>
          <w:i/>
          <w:sz w:val="20"/>
          <w:szCs w:val="20"/>
        </w:rPr>
        <w:t>Id</w:t>
      </w:r>
      <w:r w:rsidR="00962E91" w:rsidRPr="00116B73">
        <w:rPr>
          <w:sz w:val="20"/>
          <w:szCs w:val="20"/>
        </w:rPr>
        <w:t>.</w:t>
      </w:r>
    </w:p>
  </w:footnote>
  <w:footnote w:id="12">
    <w:p w14:paraId="12EE6985" w14:textId="679BC179" w:rsidR="009E414A" w:rsidRPr="00116B73" w:rsidRDefault="009E414A"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962E91" w:rsidRPr="00116B73">
        <w:rPr>
          <w:sz w:val="20"/>
          <w:szCs w:val="20"/>
        </w:rPr>
        <w:t xml:space="preserve">Charlie Savage, </w:t>
      </w:r>
      <w:r w:rsidR="00962E91" w:rsidRPr="00116B73">
        <w:rPr>
          <w:i/>
          <w:sz w:val="20"/>
          <w:szCs w:val="20"/>
        </w:rPr>
        <w:t>Trump vows Stonewall of ‘All’ House Subpoenas</w:t>
      </w:r>
      <w:r w:rsidR="00962E91" w:rsidRPr="00116B73">
        <w:rPr>
          <w:sz w:val="20"/>
          <w:szCs w:val="20"/>
        </w:rPr>
        <w:t xml:space="preserve">, N.Y. Times, </w:t>
      </w:r>
      <w:proofErr w:type="gramStart"/>
      <w:r w:rsidR="00962E91" w:rsidRPr="00116B73">
        <w:rPr>
          <w:sz w:val="20"/>
          <w:szCs w:val="20"/>
        </w:rPr>
        <w:t>Apr. 24, 2019</w:t>
      </w:r>
      <w:proofErr w:type="gramEnd"/>
      <w:r w:rsidR="00962E91" w:rsidRPr="00116B73">
        <w:rPr>
          <w:sz w:val="20"/>
          <w:szCs w:val="20"/>
        </w:rPr>
        <w:t xml:space="preserve"> (emphasis added).</w:t>
      </w:r>
    </w:p>
  </w:footnote>
  <w:footnote w:id="13">
    <w:p w14:paraId="1B8C1F2D" w14:textId="29B0314E" w:rsidR="009E414A" w:rsidRPr="00116B73" w:rsidRDefault="009E414A"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962E91" w:rsidRPr="00116B73">
        <w:rPr>
          <w:sz w:val="20"/>
          <w:szCs w:val="20"/>
        </w:rPr>
        <w:t xml:space="preserve">Michael S. Schmidt &amp; Maggie </w:t>
      </w:r>
      <w:proofErr w:type="spellStart"/>
      <w:r w:rsidR="00962E91" w:rsidRPr="00116B73">
        <w:rPr>
          <w:sz w:val="20"/>
          <w:szCs w:val="20"/>
        </w:rPr>
        <w:t>Haberman</w:t>
      </w:r>
      <w:proofErr w:type="spellEnd"/>
      <w:r w:rsidR="00962E91" w:rsidRPr="00116B73">
        <w:rPr>
          <w:sz w:val="20"/>
          <w:szCs w:val="20"/>
        </w:rPr>
        <w:t xml:space="preserve">, </w:t>
      </w:r>
      <w:r w:rsidR="00962E91" w:rsidRPr="00116B73">
        <w:rPr>
          <w:i/>
          <w:sz w:val="20"/>
          <w:szCs w:val="20"/>
        </w:rPr>
        <w:t xml:space="preserve">White House Counsel, Don </w:t>
      </w:r>
      <w:proofErr w:type="spellStart"/>
      <w:r w:rsidR="00962E91" w:rsidRPr="00116B73">
        <w:rPr>
          <w:i/>
          <w:sz w:val="20"/>
          <w:szCs w:val="20"/>
        </w:rPr>
        <w:t>McGahn</w:t>
      </w:r>
      <w:proofErr w:type="spellEnd"/>
      <w:r w:rsidR="00962E91" w:rsidRPr="00116B73">
        <w:rPr>
          <w:i/>
          <w:sz w:val="20"/>
          <w:szCs w:val="20"/>
        </w:rPr>
        <w:t>, Has Cooperated in Mueller Inquiry</w:t>
      </w:r>
      <w:r w:rsidR="00962E91" w:rsidRPr="00116B73">
        <w:rPr>
          <w:sz w:val="20"/>
          <w:szCs w:val="20"/>
        </w:rPr>
        <w:t xml:space="preserve">, N.Y. </w:t>
      </w:r>
      <w:r w:rsidR="00962E91" w:rsidRPr="00116B73">
        <w:rPr>
          <w:smallCaps/>
          <w:sz w:val="20"/>
          <w:szCs w:val="20"/>
        </w:rPr>
        <w:t>Times</w:t>
      </w:r>
      <w:r w:rsidR="00962E91" w:rsidRPr="00116B73">
        <w:rPr>
          <w:sz w:val="20"/>
          <w:szCs w:val="20"/>
        </w:rPr>
        <w:t>, Aug. 18, 2018.</w:t>
      </w:r>
    </w:p>
  </w:footnote>
  <w:footnote w:id="14">
    <w:p w14:paraId="4CB49FA3" w14:textId="5D68A9F7" w:rsidR="009E414A" w:rsidRPr="00116B73" w:rsidRDefault="009E414A"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272B6C" w:rsidRPr="00116B73">
        <w:rPr>
          <w:sz w:val="20"/>
          <w:szCs w:val="20"/>
        </w:rPr>
        <w:t>Attorney General Barr Press Conference on April 18, 2019 (the President confirmed that “he would not assert privilege over the Special Counsel’s report . . . [and] no material has been redacted based on executive privilege.”).</w:t>
      </w:r>
    </w:p>
  </w:footnote>
  <w:footnote w:id="15">
    <w:p w14:paraId="7725377E" w14:textId="123CDC8A" w:rsidR="009E414A" w:rsidRPr="00116B73" w:rsidRDefault="009E414A" w:rsidP="00116B73">
      <w:pPr>
        <w:pStyle w:val="FootnoteText"/>
        <w:jc w:val="both"/>
        <w:rPr>
          <w:sz w:val="20"/>
          <w:szCs w:val="20"/>
        </w:rPr>
      </w:pPr>
      <w:r w:rsidRPr="00116B73">
        <w:rPr>
          <w:rStyle w:val="FootnoteReference"/>
          <w:sz w:val="20"/>
          <w:szCs w:val="20"/>
        </w:rPr>
        <w:footnoteRef/>
      </w:r>
      <w:r w:rsidRPr="00116B73">
        <w:rPr>
          <w:sz w:val="20"/>
          <w:szCs w:val="20"/>
        </w:rPr>
        <w:t xml:space="preserve"> </w:t>
      </w:r>
      <w:proofErr w:type="gramStart"/>
      <w:r w:rsidR="00F36D22" w:rsidRPr="00116B73">
        <w:rPr>
          <w:i/>
          <w:sz w:val="20"/>
          <w:szCs w:val="20"/>
        </w:rPr>
        <w:t>In re Sealed Case</w:t>
      </w:r>
      <w:r w:rsidR="00F36D22" w:rsidRPr="00116B73">
        <w:rPr>
          <w:sz w:val="20"/>
          <w:szCs w:val="20"/>
        </w:rPr>
        <w:t>, 121 F.3d at 741.</w:t>
      </w:r>
      <w:proofErr w:type="gramEnd"/>
    </w:p>
  </w:footnote>
  <w:footnote w:id="16">
    <w:p w14:paraId="48926E40" w14:textId="7D27436C" w:rsidR="00962E91" w:rsidRPr="00116B73" w:rsidRDefault="00962E91"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5F16F2" w:rsidRPr="00116B73">
        <w:rPr>
          <w:sz w:val="20"/>
          <w:szCs w:val="20"/>
        </w:rPr>
        <w:t>Donald J. Trump (@</w:t>
      </w:r>
      <w:proofErr w:type="spellStart"/>
      <w:r w:rsidR="005F16F2" w:rsidRPr="00116B73">
        <w:rPr>
          <w:sz w:val="20"/>
          <w:szCs w:val="20"/>
        </w:rPr>
        <w:t>realDonaldTrump</w:t>
      </w:r>
      <w:proofErr w:type="spellEnd"/>
      <w:r w:rsidR="005F16F2" w:rsidRPr="00116B73">
        <w:rPr>
          <w:sz w:val="20"/>
          <w:szCs w:val="20"/>
        </w:rPr>
        <w:t>), Twitter (Apr. 25, 2019, 4:47 AM).</w:t>
      </w:r>
    </w:p>
  </w:footnote>
  <w:footnote w:id="17">
    <w:p w14:paraId="1C67A4D2" w14:textId="39393053" w:rsidR="00962E91" w:rsidRPr="00116B73" w:rsidRDefault="00962E91"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5F16F2" w:rsidRPr="00163AF8">
        <w:rPr>
          <w:i/>
          <w:sz w:val="20"/>
          <w:szCs w:val="20"/>
        </w:rPr>
        <w:t>See, e.g.</w:t>
      </w:r>
      <w:r w:rsidR="005F16F2" w:rsidRPr="00116B73">
        <w:rPr>
          <w:sz w:val="20"/>
          <w:szCs w:val="20"/>
        </w:rPr>
        <w:t xml:space="preserve">, </w:t>
      </w:r>
      <w:r w:rsidR="005F16F2" w:rsidRPr="00483911">
        <w:rPr>
          <w:i/>
          <w:sz w:val="20"/>
          <w:szCs w:val="20"/>
        </w:rPr>
        <w:t xml:space="preserve">Nixon v. </w:t>
      </w:r>
      <w:proofErr w:type="spellStart"/>
      <w:r w:rsidR="005F16F2" w:rsidRPr="00483911">
        <w:rPr>
          <w:i/>
          <w:sz w:val="20"/>
          <w:szCs w:val="20"/>
        </w:rPr>
        <w:t>Sirica</w:t>
      </w:r>
      <w:proofErr w:type="spellEnd"/>
      <w:r w:rsidR="005F16F2" w:rsidRPr="00116B73">
        <w:rPr>
          <w:sz w:val="20"/>
          <w:szCs w:val="20"/>
        </w:rPr>
        <w:t>, 487 F.2d 700, 717-18 (D.C. Cir. 1973) (considering public statements by President Nixon to be a factor undermining the White House claimed need for confidentiality in related conversations).</w:t>
      </w:r>
    </w:p>
  </w:footnote>
  <w:footnote w:id="18">
    <w:p w14:paraId="3D34B5F1" w14:textId="56FA5EAA" w:rsidR="00360316" w:rsidRPr="00116B73" w:rsidRDefault="00360316"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2E0DE3" w:rsidRPr="00116B73">
        <w:rPr>
          <w:sz w:val="20"/>
          <w:szCs w:val="20"/>
        </w:rPr>
        <w:t xml:space="preserve">Special Counsel Robert S. Mueller III, </w:t>
      </w:r>
      <w:r w:rsidR="002E0DE3" w:rsidRPr="00116B73">
        <w:rPr>
          <w:i/>
          <w:sz w:val="20"/>
          <w:szCs w:val="20"/>
        </w:rPr>
        <w:t>Report on the Investigation Into Russian Interference in the 2016 Presidential Election</w:t>
      </w:r>
      <w:r w:rsidR="002E0DE3" w:rsidRPr="00116B73">
        <w:rPr>
          <w:sz w:val="20"/>
          <w:szCs w:val="20"/>
        </w:rPr>
        <w:t>, Vol. II, at 48-51, 107-11 (hereinafter “Mueller Report”).</w:t>
      </w:r>
    </w:p>
  </w:footnote>
  <w:footnote w:id="19">
    <w:p w14:paraId="2DF6B69E" w14:textId="5E0E86C8" w:rsidR="00360316" w:rsidRPr="00116B73" w:rsidRDefault="00360316"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2E0DE3" w:rsidRPr="00116B73">
        <w:rPr>
          <w:i/>
          <w:sz w:val="20"/>
          <w:szCs w:val="20"/>
        </w:rPr>
        <w:t>Id</w:t>
      </w:r>
      <w:r w:rsidR="002E0DE3" w:rsidRPr="00116B73">
        <w:rPr>
          <w:sz w:val="20"/>
          <w:szCs w:val="20"/>
        </w:rPr>
        <w:t>. Vol. II, at 77-87.</w:t>
      </w:r>
    </w:p>
  </w:footnote>
  <w:footnote w:id="20">
    <w:p w14:paraId="0CAA0D70" w14:textId="6E559D7D" w:rsidR="00360316" w:rsidRPr="00116B73" w:rsidRDefault="00360316"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2E0DE3" w:rsidRPr="00116B73">
        <w:rPr>
          <w:i/>
          <w:sz w:val="20"/>
          <w:szCs w:val="20"/>
        </w:rPr>
        <w:t>Id</w:t>
      </w:r>
      <w:r w:rsidR="002E0DE3" w:rsidRPr="00116B73">
        <w:rPr>
          <w:sz w:val="20"/>
          <w:szCs w:val="20"/>
        </w:rPr>
        <w:t>. Vol. II, at 90-94.</w:t>
      </w:r>
    </w:p>
  </w:footnote>
  <w:footnote w:id="21">
    <w:p w14:paraId="7D83A060" w14:textId="6587C7C2" w:rsidR="00360316" w:rsidRPr="00116B73" w:rsidRDefault="00360316" w:rsidP="00116B73">
      <w:pPr>
        <w:pStyle w:val="FootnoteText"/>
        <w:jc w:val="both"/>
        <w:rPr>
          <w:sz w:val="20"/>
          <w:szCs w:val="20"/>
        </w:rPr>
      </w:pPr>
      <w:r w:rsidRPr="00116B73">
        <w:rPr>
          <w:rStyle w:val="FootnoteReference"/>
          <w:sz w:val="20"/>
          <w:szCs w:val="20"/>
        </w:rPr>
        <w:footnoteRef/>
      </w:r>
      <w:r w:rsidRPr="00116B73">
        <w:rPr>
          <w:sz w:val="20"/>
          <w:szCs w:val="20"/>
        </w:rPr>
        <w:t xml:space="preserve"> </w:t>
      </w:r>
      <w:r w:rsidR="002E0DE3" w:rsidRPr="00116B73">
        <w:rPr>
          <w:i/>
          <w:sz w:val="20"/>
          <w:szCs w:val="20"/>
        </w:rPr>
        <w:t>Id</w:t>
      </w:r>
      <w:r w:rsidR="002E0DE3" w:rsidRPr="00116B73">
        <w:rPr>
          <w:sz w:val="20"/>
          <w:szCs w:val="20"/>
        </w:rPr>
        <w:t>. Vol. II, at 113-18.</w:t>
      </w:r>
    </w:p>
  </w:footnote>
  <w:footnote w:id="22">
    <w:p w14:paraId="0073F373" w14:textId="213394F9" w:rsidR="00F02CCA" w:rsidRPr="00116B73" w:rsidRDefault="00F02CCA" w:rsidP="00116B73">
      <w:pPr>
        <w:pStyle w:val="FootnoteText"/>
        <w:jc w:val="both"/>
        <w:rPr>
          <w:sz w:val="20"/>
          <w:szCs w:val="20"/>
        </w:rPr>
      </w:pPr>
      <w:r w:rsidRPr="00116B73">
        <w:rPr>
          <w:rStyle w:val="FootnoteReference"/>
          <w:sz w:val="20"/>
          <w:szCs w:val="20"/>
        </w:rPr>
        <w:footnoteRef/>
      </w:r>
      <w:r w:rsidRPr="00116B73">
        <w:rPr>
          <w:sz w:val="20"/>
          <w:szCs w:val="20"/>
        </w:rPr>
        <w:t xml:space="preserve"> </w:t>
      </w:r>
      <w:proofErr w:type="gramStart"/>
      <w:r w:rsidR="002E0DE3" w:rsidRPr="00116B73">
        <w:rPr>
          <w:i/>
          <w:sz w:val="20"/>
          <w:szCs w:val="20"/>
        </w:rPr>
        <w:t>United States v. Nixon</w:t>
      </w:r>
      <w:r w:rsidR="002E0DE3" w:rsidRPr="00116B73">
        <w:rPr>
          <w:sz w:val="20"/>
          <w:szCs w:val="20"/>
        </w:rPr>
        <w:t>, 418 U.S. 683, 713 (1974)</w:t>
      </w:r>
      <w:r w:rsidR="0015778D" w:rsidRPr="00116B73">
        <w:rPr>
          <w:sz w:val="20"/>
          <w:szCs w:val="20"/>
        </w:rPr>
        <w:t>.</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15A"/>
    <w:rsid w:val="0002598E"/>
    <w:rsid w:val="001021FC"/>
    <w:rsid w:val="00116B73"/>
    <w:rsid w:val="0015778D"/>
    <w:rsid w:val="00163AF8"/>
    <w:rsid w:val="00211756"/>
    <w:rsid w:val="00231916"/>
    <w:rsid w:val="00272B6C"/>
    <w:rsid w:val="002A591B"/>
    <w:rsid w:val="002E0DE3"/>
    <w:rsid w:val="003338DD"/>
    <w:rsid w:val="00360316"/>
    <w:rsid w:val="003A2CA0"/>
    <w:rsid w:val="003C26B9"/>
    <w:rsid w:val="003E515A"/>
    <w:rsid w:val="003F0684"/>
    <w:rsid w:val="00416E41"/>
    <w:rsid w:val="00483911"/>
    <w:rsid w:val="004B2463"/>
    <w:rsid w:val="00514021"/>
    <w:rsid w:val="00556039"/>
    <w:rsid w:val="00565780"/>
    <w:rsid w:val="005F16F2"/>
    <w:rsid w:val="00604FB1"/>
    <w:rsid w:val="00646726"/>
    <w:rsid w:val="006770FE"/>
    <w:rsid w:val="00677459"/>
    <w:rsid w:val="00724BF9"/>
    <w:rsid w:val="00885AEF"/>
    <w:rsid w:val="00890D8F"/>
    <w:rsid w:val="008C6769"/>
    <w:rsid w:val="008E4BC8"/>
    <w:rsid w:val="00962E91"/>
    <w:rsid w:val="009D1FEC"/>
    <w:rsid w:val="009E414A"/>
    <w:rsid w:val="00B51FF1"/>
    <w:rsid w:val="00B93AB0"/>
    <w:rsid w:val="00CC4A7A"/>
    <w:rsid w:val="00CD5DC0"/>
    <w:rsid w:val="00D57902"/>
    <w:rsid w:val="00D654D6"/>
    <w:rsid w:val="00E528FA"/>
    <w:rsid w:val="00E55F1E"/>
    <w:rsid w:val="00ED642C"/>
    <w:rsid w:val="00F02CCA"/>
    <w:rsid w:val="00F1679E"/>
    <w:rsid w:val="00F17133"/>
    <w:rsid w:val="00F27DE8"/>
    <w:rsid w:val="00F36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67C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15A"/>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character" w:styleId="Hyperlink">
    <w:name w:val="Hyperlink"/>
    <w:basedOn w:val="DefaultParagraphFont"/>
    <w:uiPriority w:val="99"/>
    <w:unhideWhenUsed/>
    <w:rsid w:val="003A2CA0"/>
    <w:rPr>
      <w:color w:val="0000FF" w:themeColor="hyperlink"/>
      <w:u w:val="single"/>
    </w:rPr>
  </w:style>
  <w:style w:type="paragraph" w:styleId="FootnoteText">
    <w:name w:val="footnote text"/>
    <w:basedOn w:val="Normal"/>
    <w:link w:val="FootnoteTextChar"/>
    <w:uiPriority w:val="99"/>
    <w:unhideWhenUsed/>
    <w:rsid w:val="00231916"/>
  </w:style>
  <w:style w:type="character" w:customStyle="1" w:styleId="FootnoteTextChar">
    <w:name w:val="Footnote Text Char"/>
    <w:basedOn w:val="DefaultParagraphFont"/>
    <w:link w:val="FootnoteText"/>
    <w:uiPriority w:val="99"/>
    <w:rsid w:val="00231916"/>
    <w:rPr>
      <w:rFonts w:ascii="Times New Roman" w:hAnsi="Times New Roman"/>
    </w:rPr>
  </w:style>
  <w:style w:type="character" w:styleId="FootnoteReference">
    <w:name w:val="footnote reference"/>
    <w:basedOn w:val="DefaultParagraphFont"/>
    <w:uiPriority w:val="99"/>
    <w:unhideWhenUsed/>
    <w:rsid w:val="0023191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15A"/>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character" w:styleId="Hyperlink">
    <w:name w:val="Hyperlink"/>
    <w:basedOn w:val="DefaultParagraphFont"/>
    <w:uiPriority w:val="99"/>
    <w:unhideWhenUsed/>
    <w:rsid w:val="003A2CA0"/>
    <w:rPr>
      <w:color w:val="0000FF" w:themeColor="hyperlink"/>
      <w:u w:val="single"/>
    </w:rPr>
  </w:style>
  <w:style w:type="paragraph" w:styleId="FootnoteText">
    <w:name w:val="footnote text"/>
    <w:basedOn w:val="Normal"/>
    <w:link w:val="FootnoteTextChar"/>
    <w:uiPriority w:val="99"/>
    <w:unhideWhenUsed/>
    <w:rsid w:val="00231916"/>
  </w:style>
  <w:style w:type="character" w:customStyle="1" w:styleId="FootnoteTextChar">
    <w:name w:val="Footnote Text Char"/>
    <w:basedOn w:val="DefaultParagraphFont"/>
    <w:link w:val="FootnoteText"/>
    <w:uiPriority w:val="99"/>
    <w:rsid w:val="00231916"/>
    <w:rPr>
      <w:rFonts w:ascii="Times New Roman" w:hAnsi="Times New Roman"/>
    </w:rPr>
  </w:style>
  <w:style w:type="character" w:styleId="FootnoteReference">
    <w:name w:val="footnote reference"/>
    <w:basedOn w:val="DefaultParagraphFont"/>
    <w:uiPriority w:val="99"/>
    <w:unhideWhenUsed/>
    <w:rsid w:val="002319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1311</Words>
  <Characters>7477</Characters>
  <Application>Microsoft Macintosh Word</Application>
  <DocSecurity>0</DocSecurity>
  <Lines>62</Lines>
  <Paragraphs>17</Paragraphs>
  <ScaleCrop>false</ScaleCrop>
  <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75</cp:revision>
  <dcterms:created xsi:type="dcterms:W3CDTF">2019-09-05T05:15:00Z</dcterms:created>
  <dcterms:modified xsi:type="dcterms:W3CDTF">2019-09-05T06:46:00Z</dcterms:modified>
</cp:coreProperties>
</file>