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40" w:line="360" w:lineRule="auto"/>
        <w:jc w:val="center"/>
      </w:pPr>
      <w:r>
        <w:rPr>
          <w:rFonts w:ascii="Heiti SC" w:hAnsi="Heiti SC" w:eastAsia="Heiti SC"/>
          <w:b/>
          <w:i w:val="0"/>
          <w:sz w:val="40"/>
        </w:rPr>
        <w:t>心理学研究者的</w:t>
      </w:r>
    </w:p>
    <w:p>
      <w:pPr>
        <w:spacing w:after="280" w:line="360" w:lineRule="auto"/>
        <w:jc w:val="center"/>
      </w:pPr>
      <w:r>
        <w:rPr>
          <w:rFonts w:ascii="Heiti SC" w:hAnsi="Heiti SC" w:eastAsia="Heiti SC"/>
          <w:b/>
          <w:i w:val="0"/>
          <w:sz w:val="56"/>
        </w:rPr>
        <w:t>PsyClaw 使用白皮书</w:t>
      </w:r>
    </w:p>
    <w:p>
      <w:pPr>
        <w:spacing w:after="80" w:line="360" w:lineRule="auto"/>
        <w:jc w:val="center"/>
      </w:pPr>
      <w:r>
        <w:rPr>
          <w:rFonts w:ascii="Songti SC" w:hAnsi="Songti SC" w:eastAsia="Songti SC"/>
          <w:b w:val="0"/>
          <w:i w:val="0"/>
          <w:sz w:val="26"/>
        </w:rPr>
        <w:t>以自然语言完成研究全流程</w:t>
      </w:r>
    </w:p>
    <w:p>
      <w:pPr>
        <w:spacing w:after="360" w:line="360" w:lineRule="auto"/>
        <w:jc w:val="center"/>
      </w:pPr>
      <w:r>
        <w:rPr>
          <w:rFonts w:ascii="Songti SC" w:hAnsi="Songti SC" w:eastAsia="Songti SC"/>
          <w:b w:val="0"/>
          <w:i w:val="0"/>
          <w:color w:val="444444"/>
          <w:sz w:val="24"/>
        </w:rPr>
        <w:t>—— 文献 · 统计分析 · 论文写作润色 ——</w:t>
      </w:r>
    </w:p>
    <w:p>
      <w:pPr>
        <w:spacing w:after="800" w:line="360" w:lineRule="auto"/>
        <w:jc w:val="center"/>
      </w:pPr>
      <w:r>
        <w:rPr>
          <w:rFonts w:ascii="Songti SC" w:hAnsi="Songti SC" w:eastAsia="Songti SC"/>
          <w:b w:val="0"/>
          <w:i w:val="0"/>
          <w:color w:val="1F4E79"/>
          <w:sz w:val="22"/>
        </w:rPr>
        <w:t>无需编程 · 无需记忆命令</w:t>
      </w:r>
    </w:p>
    <w:p>
      <w:pPr>
        <w:spacing w:after="120" w:line="360" w:lineRule="auto"/>
        <w:jc w:val="center"/>
      </w:pPr>
      <w:r>
        <w:rPr>
          <w:rFonts w:ascii="Songti SC" w:hAnsi="Songti SC" w:eastAsia="Songti SC"/>
          <w:b w:val="0"/>
          <w:i w:val="0"/>
          <w:color w:val="444444"/>
          <w:sz w:val="22"/>
        </w:rPr>
        <w:t>2026 年 7 月 · v0.20.0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Heiti SC" w:hAnsi="Heiti SC" w:eastAsia="Heiti SC"/>
          <w:b/>
          <w:color w:val="1A1A1A"/>
          <w:sz w:val="36"/>
        </w:rPr>
        <w:t>关于本白皮书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本白皮书面向心理学及相关行为科学领域的研究者——研究生、博士后、青年教师与资深 PI——介绍如何用 PsyClaw 完成文献调研、统计分析与论文写作润色。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阅读本白皮书不需要编程基础,也不需要记住任何命令。安装完成后,全部交互均以自然语言进行:说明需求,由其执行;涉及写入文件、下载全文等操作时会先行征求同意。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我们假定你熟悉常见的心理学统计方法(t 检验、方差分析、回归、中介分析),日常可能使用 SPSS、JASP 或 R。分析脚本由 PsyClaw 生成并交给成熟统计库运行,你不必自己写。</w:t>
      </w: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如何使用本白皮书</w:t>
      </w:r>
    </w:p>
    <w:p>
      <w:pPr>
        <w:pStyle w:val="ListBullet"/>
        <w:spacing w:after="60" w:line="336" w:lineRule="auto"/>
      </w:pPr>
      <w:r>
        <w:rPr>
          <w:rFonts w:ascii="Songti SC" w:hAnsi="Songti SC" w:eastAsia="Songti SC"/>
          <w:sz w:val="21"/>
        </w:rPr>
        <w:t>第 1 章:安装与配置。首次使用前请完整阅读。</w:t>
      </w:r>
    </w:p>
    <w:p>
      <w:pPr>
        <w:pStyle w:val="ListBullet"/>
        <w:spacing w:after="60" w:line="336" w:lineRule="auto"/>
      </w:pPr>
      <w:r>
        <w:rPr>
          <w:rFonts w:ascii="Songti SC" w:hAnsi="Songti SC" w:eastAsia="Songti SC"/>
          <w:sz w:val="21"/>
        </w:rPr>
        <w:t>第 2–4 章:文献 → 统计分析 → 写作润色,三个阶段各成一章,可按需查阅。</w:t>
      </w:r>
    </w:p>
    <w:p>
      <w:pPr>
        <w:pStyle w:val="ListBullet"/>
        <w:spacing w:after="60" w:line="336" w:lineRule="auto"/>
      </w:pPr>
      <w:r>
        <w:rPr>
          <w:rFonts w:ascii="Songti SC" w:hAnsi="Songti SC" w:eastAsia="Songti SC"/>
          <w:sz w:val="21"/>
        </w:rPr>
        <w:t>第 5 章:使用建议与能力边界。</w:t>
      </w:r>
    </w:p>
    <w:p>
      <w:pPr>
        <w:pStyle w:val="ListBullet"/>
        <w:spacing w:after="60" w:line="336" w:lineRule="auto"/>
      </w:pPr>
      <w:r>
        <w:rPr>
          <w:rFonts w:ascii="Songti SC" w:hAnsi="Songti SC" w:eastAsia="Songti SC"/>
          <w:sz w:val="21"/>
        </w:rPr>
        <w:t>附录:常用表述速查、量表配置、常见问题。</w:t>
      </w:r>
    </w:p>
    <w:p>
      <w:pPr>
        <w:spacing w:after="200" w:line="360" w:lineRule="auto"/>
      </w:pPr>
      <w:r>
        <w:rPr>
          <w:rFonts w:ascii="Songti SC" w:hAnsi="Songti SC" w:eastAsia="Songti SC"/>
          <w:b w:val="0"/>
          <w:i w:val="0"/>
          <w:sz w:val="21"/>
        </w:rPr>
        <w:t>文中三类信息框:蓝色为对话示例(可直接照此表述),绿色为实用建议,黄色为风险提示。灰底为需在终端输入的命令——除安装配置外,正文中几乎不再涉及。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Heiti SC" w:hAnsi="Heiti SC" w:eastAsia="Heiti SC"/>
          <w:b/>
          <w:color w:val="1A1A1A"/>
          <w:sz w:val="36"/>
        </w:rPr>
        <w:t>PsyClaw 能做什么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PsyClaw 承担研究流程中繁琐、易错而又必须准确的环节,使研究者得以专注于判断与思考。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175"/>
            <w:shd w:val="clear" w:fill="E8EDF3"/>
          </w:tcPr>
          <w:p>
            <w:r/>
            <w:r>
              <w:rPr>
                <w:rFonts w:ascii="Heiti SC" w:hAnsi="Heiti SC" w:eastAsia="Heiti SC"/>
                <w:b/>
                <w:sz w:val="19"/>
              </w:rPr>
              <w:t>你想做的事</w:t>
            </w:r>
          </w:p>
        </w:tc>
        <w:tc>
          <w:tcPr>
            <w:tcW w:type="dxa" w:w="5443"/>
            <w:shd w:val="clear" w:fill="E8EDF3"/>
          </w:tcPr>
          <w:p>
            <w:r/>
            <w:r>
              <w:rPr>
                <w:rFonts w:ascii="Heiti SC" w:hAnsi="Heiti SC" w:eastAsia="Heiti SC"/>
                <w:b/>
                <w:sz w:val="19"/>
              </w:rPr>
              <w:t>你只需要说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ongti SC" w:hAnsi="Songti SC" w:eastAsia="Songti SC"/>
                <w:sz w:val="18"/>
              </w:rPr>
              <w:t>找某个主题近几年的文献</w:t>
            </w:r>
          </w:p>
        </w:tc>
        <w:tc>
          <w:tcPr>
            <w:tcW w:type="dxa" w:w="5443"/>
          </w:tcPr>
          <w:p>
            <w:r/>
            <w:r>
              <w:rPr>
                <w:rFonts w:ascii="Songti SC" w:hAnsi="Songti SC" w:eastAsia="Songti SC"/>
                <w:sz w:val="18"/>
              </w:rPr>
              <w:t>帮我找工作倦怠与离职意向近三年的研究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ongti SC" w:hAnsi="Songti SC" w:eastAsia="Songti SC"/>
                <w:sz w:val="18"/>
              </w:rPr>
              <w:t>把找到的文章下载下来</w:t>
            </w:r>
          </w:p>
        </w:tc>
        <w:tc>
          <w:tcPr>
            <w:tcW w:type="dxa" w:w="5443"/>
          </w:tcPr>
          <w:p>
            <w:r/>
            <w:r>
              <w:rPr>
                <w:rFonts w:ascii="Songti SC" w:hAnsi="Songti SC" w:eastAsia="Songti SC"/>
                <w:sz w:val="18"/>
              </w:rPr>
              <w:t>把这几篇下载下来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ongti SC" w:hAnsi="Songti SC" w:eastAsia="Songti SC"/>
                <w:sz w:val="18"/>
              </w:rPr>
              <w:t>确认参考文献没有编造</w:t>
            </w:r>
          </w:p>
        </w:tc>
        <w:tc>
          <w:tcPr>
            <w:tcW w:type="dxa" w:w="5443"/>
          </w:tcPr>
          <w:p>
            <w:r/>
            <w:r>
              <w:rPr>
                <w:rFonts w:ascii="Songti SC" w:hAnsi="Songti SC" w:eastAsia="Songti SC"/>
                <w:sz w:val="18"/>
              </w:rPr>
              <w:t>帮我核一下这稿子里的引用是不是都真实存在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ongti SC" w:hAnsi="Songti SC" w:eastAsia="Songti SC"/>
                <w:sz w:val="18"/>
              </w:rPr>
              <w:t>做一个中介效应分析</w:t>
            </w:r>
          </w:p>
        </w:tc>
        <w:tc>
          <w:tcPr>
            <w:tcW w:type="dxa" w:w="5443"/>
          </w:tcPr>
          <w:p>
            <w:r/>
            <w:r>
              <w:rPr>
                <w:rFonts w:ascii="Songti SC" w:hAnsi="Songti SC" w:eastAsia="Songti SC"/>
                <w:sz w:val="18"/>
              </w:rPr>
              <w:t>帮我做个中介分析,自变量是 X,因变量是 Y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ongti SC" w:hAnsi="Songti SC" w:eastAsia="Songti SC"/>
                <w:sz w:val="18"/>
              </w:rPr>
              <w:t>检查稿件是否符合规范</w:t>
            </w:r>
          </w:p>
        </w:tc>
        <w:tc>
          <w:tcPr>
            <w:tcW w:type="dxa" w:w="5443"/>
          </w:tcPr>
          <w:p>
            <w:r/>
            <w:r>
              <w:rPr>
                <w:rFonts w:ascii="Songti SC" w:hAnsi="Songti SC" w:eastAsia="Songti SC"/>
                <w:sz w:val="18"/>
              </w:rPr>
              <w:t>帮我按 APA 规范检查一下这份稿子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ongti SC" w:hAnsi="Songti SC" w:eastAsia="Songti SC"/>
                <w:sz w:val="18"/>
              </w:rPr>
              <w:t>模拟审稿意见</w:t>
            </w:r>
          </w:p>
        </w:tc>
        <w:tc>
          <w:tcPr>
            <w:tcW w:type="dxa" w:w="5443"/>
          </w:tcPr>
          <w:p>
            <w:r/>
            <w:r>
              <w:rPr>
                <w:rFonts w:ascii="Songti SC" w:hAnsi="Songti SC" w:eastAsia="Songti SC"/>
                <w:sz w:val="18"/>
              </w:rPr>
              <w:t>帮我审一下这篇,像 Nature 审稿人那样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ongti SC" w:hAnsi="Songti SC" w:eastAsia="Songti SC"/>
                <w:sz w:val="18"/>
              </w:rPr>
              <w:t>导出成 Word 投稿</w:t>
            </w:r>
          </w:p>
        </w:tc>
        <w:tc>
          <w:tcPr>
            <w:tcW w:type="dxa" w:w="5443"/>
          </w:tcPr>
          <w:p>
            <w:r/>
            <w:r>
              <w:rPr>
                <w:rFonts w:ascii="Songti SC" w:hAnsi="Songti SC" w:eastAsia="Songti SC"/>
                <w:sz w:val="18"/>
              </w:rPr>
              <w:t>导出成心理学报格式的 Word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上表右列即为实际输入内容。无需参数与命令;表述不明确时,系统会主动追问。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5EE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E6B3A"/>
                <w:sz w:val="20"/>
              </w:rPr>
              <w:t>三项基本保证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· 不编造文献。检索失败时如实告知,绝不以记忆内容拼凑书目。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· 不编造数据。脚本未实际运行前,不提供含具体数值的「示例结果」。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· 不擅自变更文件。写入、下载、修改文库前均先征求同意。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Heiti SC" w:hAnsi="Heiti SC" w:eastAsia="Heiti SC"/>
          <w:b/>
          <w:color w:val="1A1A1A"/>
          <w:sz w:val="36"/>
        </w:rPr>
        <w:t>目录</w:t>
      </w:r>
    </w:p>
    <w:p>
      <w:pPr>
        <w:spacing w:after="80" w:line="360" w:lineRule="auto"/>
        <w:ind w:left="340"/>
      </w:pPr>
      <w:r>
        <w:rPr>
          <w:rFonts w:ascii="Songti SC" w:hAnsi="Songti SC" w:eastAsia="Songti SC"/>
          <w:b w:val="0"/>
          <w:i w:val="0"/>
          <w:sz w:val="22"/>
        </w:rPr>
        <w:t>关于本白皮书</w:t>
      </w:r>
    </w:p>
    <w:p>
      <w:pPr>
        <w:spacing w:after="80" w:line="360" w:lineRule="auto"/>
        <w:ind w:left="340"/>
      </w:pPr>
      <w:r>
        <w:rPr>
          <w:rFonts w:ascii="Songti SC" w:hAnsi="Songti SC" w:eastAsia="Songti SC"/>
          <w:b w:val="0"/>
          <w:i w:val="0"/>
          <w:sz w:val="22"/>
        </w:rPr>
        <w:t>PsyClaw 能做什么</w:t>
      </w:r>
    </w:p>
    <w:p>
      <w:pPr>
        <w:spacing w:after="80" w:line="360" w:lineRule="auto"/>
        <w:ind w:left="340"/>
      </w:pPr>
      <w:r>
        <w:rPr>
          <w:rFonts w:ascii="Songti SC" w:hAnsi="Songti SC" w:eastAsia="Songti SC"/>
          <w:b w:val="0"/>
          <w:i w:val="0"/>
          <w:sz w:val="22"/>
        </w:rPr>
        <w:t>第一章　安装与配置</w:t>
      </w:r>
    </w:p>
    <w:p>
      <w:pPr>
        <w:spacing w:after="80" w:line="360" w:lineRule="auto"/>
        <w:ind w:left="340"/>
      </w:pPr>
      <w:r>
        <w:rPr>
          <w:rFonts w:ascii="Songti SC" w:hAnsi="Songti SC" w:eastAsia="Songti SC"/>
          <w:b w:val="0"/>
          <w:i w:val="0"/>
          <w:sz w:val="22"/>
        </w:rPr>
        <w:t>第二章　文献检索与全文获取</w:t>
      </w:r>
    </w:p>
    <w:p>
      <w:pPr>
        <w:spacing w:after="80" w:line="360" w:lineRule="auto"/>
        <w:ind w:left="340"/>
      </w:pPr>
      <w:r>
        <w:rPr>
          <w:rFonts w:ascii="Songti SC" w:hAnsi="Songti SC" w:eastAsia="Songti SC"/>
          <w:b w:val="0"/>
          <w:i w:val="0"/>
          <w:sz w:val="22"/>
        </w:rPr>
        <w:t>第三章　统计分析</w:t>
      </w:r>
    </w:p>
    <w:p>
      <w:pPr>
        <w:spacing w:after="80" w:line="360" w:lineRule="auto"/>
        <w:ind w:left="340"/>
      </w:pPr>
      <w:r>
        <w:rPr>
          <w:rFonts w:ascii="Songti SC" w:hAnsi="Songti SC" w:eastAsia="Songti SC"/>
          <w:b w:val="0"/>
          <w:i w:val="0"/>
          <w:sz w:val="22"/>
        </w:rPr>
        <w:t>第四章　论文写作与润色</w:t>
      </w:r>
    </w:p>
    <w:p>
      <w:pPr>
        <w:spacing w:after="80" w:line="360" w:lineRule="auto"/>
        <w:ind w:left="340"/>
      </w:pPr>
      <w:r>
        <w:rPr>
          <w:rFonts w:ascii="Songti SC" w:hAnsi="Songti SC" w:eastAsia="Songti SC"/>
          <w:b w:val="0"/>
          <w:i w:val="0"/>
          <w:sz w:val="22"/>
        </w:rPr>
        <w:t>第五章　使用建议与能力边界</w:t>
      </w:r>
    </w:p>
    <w:p>
      <w:pPr>
        <w:spacing w:after="80" w:line="360" w:lineRule="auto"/>
        <w:ind w:left="340"/>
      </w:pPr>
      <w:r>
        <w:rPr>
          <w:rFonts w:ascii="Songti SC" w:hAnsi="Songti SC" w:eastAsia="Songti SC"/>
          <w:b w:val="0"/>
          <w:i w:val="0"/>
          <w:sz w:val="22"/>
        </w:rPr>
        <w:t>第六章　流程编排与能力扩展</w:t>
      </w:r>
    </w:p>
    <w:p>
      <w:pPr>
        <w:spacing w:after="80" w:line="360" w:lineRule="auto"/>
        <w:ind w:left="340"/>
      </w:pPr>
      <w:r>
        <w:rPr>
          <w:rFonts w:ascii="Songti SC" w:hAnsi="Songti SC" w:eastAsia="Songti SC"/>
          <w:b w:val="0"/>
          <w:i w:val="0"/>
          <w:sz w:val="22"/>
        </w:rPr>
        <w:t>附录 A　常用表述速查</w:t>
      </w:r>
    </w:p>
    <w:p>
      <w:pPr>
        <w:spacing w:after="80" w:line="360" w:lineRule="auto"/>
        <w:ind w:left="340"/>
      </w:pPr>
      <w:r>
        <w:rPr>
          <w:rFonts w:ascii="Songti SC" w:hAnsi="Songti SC" w:eastAsia="Songti SC"/>
          <w:b w:val="0"/>
          <w:i w:val="0"/>
          <w:sz w:val="22"/>
        </w:rPr>
        <w:t>附录 B　自定义量表配置</w:t>
      </w:r>
    </w:p>
    <w:p>
      <w:pPr>
        <w:spacing w:after="80" w:line="360" w:lineRule="auto"/>
        <w:ind w:left="340"/>
      </w:pPr>
      <w:r>
        <w:rPr>
          <w:rFonts w:ascii="Songti SC" w:hAnsi="Songti SC" w:eastAsia="Songti SC"/>
          <w:b w:val="0"/>
          <w:i w:val="0"/>
          <w:sz w:val="22"/>
        </w:rPr>
        <w:t>附录 C　常见问题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Heiti SC" w:hAnsi="Heiti SC" w:eastAsia="Heiti SC"/>
          <w:b/>
          <w:color w:val="1A1A1A"/>
          <w:sz w:val="36"/>
        </w:rPr>
        <w:t>第一章　安装与配置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本章是全书唯一需要在终端输入命令的部分。配置完成后,后续交互均以自然语言进行。</w:t>
      </w: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1.1　安装:国际网络环境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2F2F2"/>
          </w:tcPr>
          <w:p>
            <w:pPr>
              <w:spacing w:after="0" w:line="276" w:lineRule="auto"/>
            </w:pPr>
            <w:r/>
            <w:r>
              <w:rPr>
                <w:rFonts w:ascii="Menlo" w:hAnsi="Menlo"/>
                <w:color w:val="444444"/>
                <w:sz w:val="18"/>
              </w:rPr>
              <w:t>uv tool install --python 3.12 \</w:t>
            </w:r>
          </w:p>
          <w:p>
            <w:pPr>
              <w:spacing w:after="0" w:line="276" w:lineRule="auto"/>
            </w:pPr>
            <w:r>
              <w:rPr>
                <w:rFonts w:ascii="Menlo" w:hAnsi="Menlo"/>
                <w:color w:val="444444"/>
                <w:sz w:val="18"/>
              </w:rPr>
              <w:t xml:space="preserve">  "git+https://github.com/Exekiel179/psyclaw.git@v0.20.0"</w:t>
            </w:r>
          </w:p>
        </w:tc>
      </w:tr>
    </w:tbl>
    <w:p>
      <w:pPr>
        <w:spacing w:after="80"/>
      </w:pPr>
    </w:p>
    <w:p>
      <w:pPr>
        <w:spacing w:after="40" w:line="360" w:lineRule="auto"/>
      </w:pPr>
      <w:r>
        <w:rPr>
          <w:rFonts w:ascii="Songti SC" w:hAnsi="Songti SC" w:eastAsia="Songti SC"/>
          <w:b w:val="0"/>
          <w:i w:val="0"/>
          <w:sz w:val="21"/>
        </w:rPr>
        <w:t>若提示未找到 uv,请先安装: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2F2F2"/>
          </w:tcPr>
          <w:p>
            <w:pPr>
              <w:spacing w:after="0" w:line="276" w:lineRule="auto"/>
            </w:pPr>
            <w:r/>
            <w:r>
              <w:rPr>
                <w:rFonts w:ascii="Menlo" w:hAnsi="Menlo"/>
                <w:color w:val="444444"/>
                <w:sz w:val="18"/>
              </w:rPr>
              <w:t>curl -LsSf https://astral.sh/uv/install.sh | sh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1.2　安装:国内网络环境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国内网络环境下直接执行上述命令通常会失败。建议使用一键脚本,该脚本会自动检测网络状况并切换至国内镜像: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2F2F2"/>
          </w:tcPr>
          <w:p>
            <w:pPr>
              <w:spacing w:after="0" w:line="276" w:lineRule="auto"/>
            </w:pPr>
            <w:r/>
            <w:r>
              <w:rPr>
                <w:rFonts w:ascii="Menlo" w:hAnsi="Menlo"/>
                <w:color w:val="444444"/>
                <w:sz w:val="18"/>
              </w:rPr>
              <w:t>curl -fsSL https://exekiel179.github.io/psyclaw/install.sh | sh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如需强制使用国内镜像,可在命令前加 PSYCLAW_CN=1。Windows 环境请以 PowerShell 执行同名的 install.ps1。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BF3E2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8A5A00"/>
                <w:sz w:val="20"/>
              </w:rPr>
              <w:t>风险提示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一键脚本在 GitHub 不可达时会改用第三方镜像 gitclone.com。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该镜像非官方渠道,代码完整性不作保证;能连 GitHub 时请优先用官方地址。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1.3　分发包:批量部署与无网环境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需为课题组批量部署,或目标机器无法联网时,使用分发包: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742"/>
            <w:shd w:val="clear" w:fill="E8EDF3"/>
          </w:tcPr>
          <w:p>
            <w:r/>
            <w:r>
              <w:rPr>
                <w:rFonts w:ascii="Heiti SC" w:hAnsi="Heiti SC" w:eastAsia="Heiti SC"/>
                <w:b/>
                <w:sz w:val="19"/>
              </w:rPr>
              <w:t>文件</w:t>
            </w:r>
          </w:p>
        </w:tc>
        <w:tc>
          <w:tcPr>
            <w:tcW w:type="dxa" w:w="4876"/>
            <w:shd w:val="clear" w:fill="E8EDF3"/>
          </w:tcPr>
          <w:p>
            <w:r/>
            <w:r>
              <w:rPr>
                <w:rFonts w:ascii="Heiti SC" w:hAnsi="Heiti SC" w:eastAsia="Heiti SC"/>
                <w:b/>
                <w:sz w:val="19"/>
              </w:rPr>
              <w:t>适用场景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Songti SC" w:hAnsi="Songti SC" w:eastAsia="Songti SC"/>
                <w:sz w:val="18"/>
              </w:rPr>
              <w:t>psyclaw-0.20.0-py3-none-any.whl</w:t>
            </w:r>
          </w:p>
        </w:tc>
        <w:tc>
          <w:tcPr>
            <w:tcW w:type="dxa" w:w="4876"/>
          </w:tcPr>
          <w:p>
            <w:r/>
            <w:r>
              <w:rPr>
                <w:rFonts w:ascii="Songti SC" w:hAnsi="Songti SC" w:eastAsia="Songti SC"/>
                <w:sz w:val="18"/>
              </w:rPr>
              <w:t>常规离线安装(装时仍需拉一个依赖)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Songti SC" w:hAnsi="Songti SC" w:eastAsia="Songti SC"/>
                <w:sz w:val="18"/>
              </w:rPr>
              <w:t>psyclaw-offline-0.20.0.tar.gz</w:t>
            </w:r>
          </w:p>
        </w:tc>
        <w:tc>
          <w:tcPr>
            <w:tcW w:type="dxa" w:w="4876"/>
          </w:tcPr>
          <w:p>
            <w:r/>
            <w:r>
              <w:rPr>
                <w:rFonts w:ascii="Songti SC" w:hAnsi="Songti SC" w:eastAsia="Songti SC"/>
                <w:sz w:val="18"/>
              </w:rPr>
              <w:t>完全无网:依赖全部打包,解压即装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全离线整包使用方式:拷贝至目标机器,解压后执行其中的 install.sh。目标机器仅需具备 Python 3.11 及以上版本。</w:t>
      </w: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1.4　首次配置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2F2F2"/>
          </w:tcPr>
          <w:p>
            <w:pPr>
              <w:spacing w:after="0" w:line="276" w:lineRule="auto"/>
            </w:pPr>
            <w:r/>
            <w:r>
              <w:rPr>
                <w:rFonts w:ascii="Menlo" w:hAnsi="Menlo"/>
                <w:color w:val="444444"/>
                <w:sz w:val="18"/>
              </w:rPr>
              <w:t>psyclaw setup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该命令引导完成功能板块选择、模型服务(provider)与密钥配置。配置一次即可,后续所有项目通用。</w:t>
      </w: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1.5　四个入口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日常使用涉及以下四个入口。进入后即以自然语言交互。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608"/>
            <w:shd w:val="clear" w:fill="E8EDF3"/>
          </w:tcPr>
          <w:p>
            <w:r/>
            <w:r>
              <w:rPr>
                <w:rFonts w:ascii="Heiti SC" w:hAnsi="Heiti SC" w:eastAsia="Heiti SC"/>
                <w:b/>
                <w:sz w:val="19"/>
              </w:rPr>
              <w:t>入口</w:t>
            </w:r>
          </w:p>
        </w:tc>
        <w:tc>
          <w:tcPr>
            <w:tcW w:type="dxa" w:w="6009"/>
            <w:shd w:val="clear" w:fill="E8EDF3"/>
          </w:tcPr>
          <w:p>
            <w:r/>
            <w:r>
              <w:rPr>
                <w:rFonts w:ascii="Heiti SC" w:hAnsi="Heiti SC" w:eastAsia="Heiti SC"/>
                <w:b/>
                <w:sz w:val="19"/>
              </w:rPr>
              <w:t>什么时候用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Songti SC" w:hAnsi="Songti SC" w:eastAsia="Songti SC"/>
                <w:sz w:val="18"/>
              </w:rPr>
              <w:t>psyclaw</w:t>
            </w:r>
          </w:p>
        </w:tc>
        <w:tc>
          <w:tcPr>
            <w:tcW w:type="dxa" w:w="6009"/>
          </w:tcPr>
          <w:p>
            <w:r/>
            <w:r>
              <w:rPr>
                <w:rFonts w:ascii="Songti SC" w:hAnsi="Songti SC" w:eastAsia="Songti SC"/>
                <w:sz w:val="18"/>
              </w:rPr>
              <w:t>最常用。直接进入对话。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Songti SC" w:hAnsi="Songti SC" w:eastAsia="Songti SC"/>
                <w:sz w:val="18"/>
              </w:rPr>
              <w:t>psyclaw new 研究名</w:t>
            </w:r>
          </w:p>
        </w:tc>
        <w:tc>
          <w:tcPr>
            <w:tcW w:type="dxa" w:w="6009"/>
          </w:tcPr>
          <w:p>
            <w:r/>
            <w:r>
              <w:rPr>
                <w:rFonts w:ascii="Songti SC" w:hAnsi="Songti SC" w:eastAsia="Songti SC"/>
                <w:sz w:val="18"/>
              </w:rPr>
              <w:t>新建研究。将建立独立目录,其目标与进度同其他研究相互隔离。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Songti SC" w:hAnsi="Songti SC" w:eastAsia="Songti SC"/>
                <w:sz w:val="18"/>
              </w:rPr>
              <w:t>psyclaw resume</w:t>
            </w:r>
          </w:p>
        </w:tc>
        <w:tc>
          <w:tcPr>
            <w:tcW w:type="dxa" w:w="6009"/>
          </w:tcPr>
          <w:p>
            <w:r/>
            <w:r>
              <w:rPr>
                <w:rFonts w:ascii="Songti SC" w:hAnsi="Songti SC" w:eastAsia="Songti SC"/>
                <w:sz w:val="18"/>
              </w:rPr>
              <w:t>续接历史会话。不带参数时续接最近一次。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Songti SC" w:hAnsi="Songti SC" w:eastAsia="Songti SC"/>
                <w:sz w:val="18"/>
              </w:rPr>
              <w:t>psyclaw status</w:t>
            </w:r>
          </w:p>
        </w:tc>
        <w:tc>
          <w:tcPr>
            <w:tcW w:type="dxa" w:w="6009"/>
          </w:tcPr>
          <w:p>
            <w:r/>
            <w:r>
              <w:rPr>
                <w:rFonts w:ascii="Songti SC" w:hAnsi="Songti SC" w:eastAsia="Songti SC"/>
                <w:sz w:val="18"/>
              </w:rPr>
              <w:t>查看当前研究进度:目标、待办事项、最近产出与后续建议。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5EE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E6B3A"/>
                <w:sz w:val="20"/>
              </w:rPr>
              <w:t>实用建议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建议每项研究单独使用 psyclaw new 建立目录。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系统将独立记录该研究的目标与进度,不会混入其他课题的上下文。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1.6　使用须知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第一,表述不必精确。信息不足时系统会主动询问,而非擅自假设。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第二,涉及变更的操作均先征求同意。写入文件、下载全文、写入 Zotero 文库、打开浏览器等操作均会事先询问;同类操作经一次同意后,本次会话内可自动放行。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第三,产物存放位置固定:成稿位于 outputs/,图表位于 figures/,脚本位于 scripts/,笔记位于 notes/。原始数据目录 data/ 仅读取,不写入。</w:t>
      </w: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1.7　权限与审批档位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PsyClaw 在两个维度上控制它能做什么:操作审批与文件访问。两者均可随时在对话中切换,切换后立即生效。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28"/>
            <w:shd w:val="clear" w:fill="E8EDF3"/>
          </w:tcPr>
          <w:p>
            <w:r/>
            <w:r>
              <w:rPr>
                <w:rFonts w:ascii="Heiti SC" w:hAnsi="Heiti SC" w:eastAsia="Heiti SC"/>
                <w:b/>
                <w:sz w:val="19"/>
              </w:rPr>
              <w:t>档位</w:t>
            </w:r>
          </w:p>
        </w:tc>
        <w:tc>
          <w:tcPr>
            <w:tcW w:type="dxa" w:w="2041"/>
            <w:shd w:val="clear" w:fill="E8EDF3"/>
          </w:tcPr>
          <w:p>
            <w:r/>
            <w:r>
              <w:rPr>
                <w:rFonts w:ascii="Heiti SC" w:hAnsi="Heiti SC" w:eastAsia="Heiti SC"/>
                <w:b/>
                <w:sz w:val="19"/>
              </w:rPr>
              <w:t>切换方式</w:t>
            </w:r>
          </w:p>
        </w:tc>
        <w:tc>
          <w:tcPr>
            <w:tcW w:type="dxa" w:w="4535"/>
            <w:shd w:val="clear" w:fill="E8EDF3"/>
          </w:tcPr>
          <w:p>
            <w:r/>
            <w:r>
              <w:rPr>
                <w:rFonts w:ascii="Heiti SC" w:hAnsi="Heiti SC" w:eastAsia="Heiti SC"/>
                <w:b/>
                <w:sz w:val="19"/>
              </w:rPr>
              <w:t>含义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Songti SC" w:hAnsi="Songti SC" w:eastAsia="Songti SC"/>
                <w:sz w:val="18"/>
              </w:rPr>
              <w:t>审批 ask(默认)</w:t>
            </w:r>
          </w:p>
        </w:tc>
        <w:tc>
          <w:tcPr>
            <w:tcW w:type="dxa" w:w="2041"/>
          </w:tcPr>
          <w:p>
            <w:r/>
            <w:r>
              <w:rPr>
                <w:rFonts w:ascii="Songti SC" w:hAnsi="Songti SC" w:eastAsia="Songti SC"/>
                <w:sz w:val="18"/>
              </w:rPr>
              <w:t>/approval ask</w:t>
            </w:r>
          </w:p>
        </w:tc>
        <w:tc>
          <w:tcPr>
            <w:tcW w:type="dxa" w:w="4535"/>
          </w:tcPr>
          <w:p>
            <w:r/>
            <w:r>
              <w:rPr>
                <w:rFonts w:ascii="Songti SC" w:hAnsi="Songti SC" w:eastAsia="Songti SC"/>
                <w:sz w:val="18"/>
              </w:rPr>
              <w:t>命令执行、文件覆盖、工具副作用逐条征求同意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Songti SC" w:hAnsi="Songti SC" w:eastAsia="Songti SC"/>
                <w:sz w:val="18"/>
              </w:rPr>
              <w:t>审批 auto</w:t>
            </w:r>
          </w:p>
        </w:tc>
        <w:tc>
          <w:tcPr>
            <w:tcW w:type="dxa" w:w="2041"/>
          </w:tcPr>
          <w:p>
            <w:r/>
            <w:r>
              <w:rPr>
                <w:rFonts w:ascii="Songti SC" w:hAnsi="Songti SC" w:eastAsia="Songti SC"/>
                <w:sz w:val="18"/>
              </w:rPr>
              <w:t>/approval auto 或 /yolo</w:t>
            </w:r>
          </w:p>
        </w:tc>
        <w:tc>
          <w:tcPr>
            <w:tcW w:type="dxa" w:w="4535"/>
          </w:tcPr>
          <w:p>
            <w:r/>
            <w:r>
              <w:rPr>
                <w:rFonts w:ascii="Songti SC" w:hAnsi="Songti SC" w:eastAsia="Songti SC"/>
                <w:sz w:val="18"/>
              </w:rPr>
              <w:t>上述操作自动放行;仅命中红线的危险命令仍会询问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Songti SC" w:hAnsi="Songti SC" w:eastAsia="Songti SC"/>
                <w:sz w:val="18"/>
              </w:rPr>
              <w:t>访问 open(默认)</w:t>
            </w:r>
          </w:p>
        </w:tc>
        <w:tc>
          <w:tcPr>
            <w:tcW w:type="dxa" w:w="2041"/>
          </w:tcPr>
          <w:p>
            <w:r/>
            <w:r>
              <w:rPr>
                <w:rFonts w:ascii="Songti SC" w:hAnsi="Songti SC" w:eastAsia="Songti SC"/>
                <w:sz w:val="18"/>
              </w:rPr>
              <w:t>/access open</w:t>
            </w:r>
          </w:p>
        </w:tc>
        <w:tc>
          <w:tcPr>
            <w:tcW w:type="dxa" w:w="4535"/>
          </w:tcPr>
          <w:p>
            <w:r/>
            <w:r>
              <w:rPr>
                <w:rFonts w:ascii="Songti SC" w:hAnsi="Songti SC" w:eastAsia="Songti SC"/>
                <w:sz w:val="18"/>
              </w:rPr>
              <w:t>允许系统按需读取项目内文件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Songti SC" w:hAnsi="Songti SC" w:eastAsia="Songti SC"/>
                <w:sz w:val="18"/>
              </w:rPr>
              <w:t>访问 safe</w:t>
            </w:r>
          </w:p>
        </w:tc>
        <w:tc>
          <w:tcPr>
            <w:tcW w:type="dxa" w:w="2041"/>
          </w:tcPr>
          <w:p>
            <w:r/>
            <w:r>
              <w:rPr>
                <w:rFonts w:ascii="Songti SC" w:hAnsi="Songti SC" w:eastAsia="Songti SC"/>
                <w:sz w:val="18"/>
              </w:rPr>
              <w:t>/access safe</w:t>
            </w:r>
          </w:p>
        </w:tc>
        <w:tc>
          <w:tcPr>
            <w:tcW w:type="dxa" w:w="4535"/>
          </w:tcPr>
          <w:p>
            <w:r/>
            <w:r>
              <w:rPr>
                <w:rFonts w:ascii="Songti SC" w:hAnsi="Songti SC" w:eastAsia="Songti SC"/>
                <w:sz w:val="18"/>
              </w:rPr>
              <w:t>一切读取须由研究者以 @ 显式引用,系统不自行读取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红线始终有效:删除类命令、强制推送、数据库删表等危险操作,无论处于何种档位都会要求确认。原始数据目录 data/ 在任何档位下均只读。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5EE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E6B3A"/>
                <w:sz w:val="20"/>
              </w:rPr>
              <w:t>档位选择建议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初次使用或处理重要数据时,保持默认的 ask + open。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批量重复性工作(如逐篇下载、批量导出)可临时切到 auto 提高效率,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完成后切回。涉及未公开数据的分析,建议使用 safe 访问档位。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Heiti SC" w:hAnsi="Heiti SC" w:eastAsia="Heiti SC"/>
          <w:b/>
          <w:color w:val="1A1A1A"/>
          <w:sz w:val="36"/>
        </w:rPr>
        <w:t>第二章　文献检索与全文获取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文献是 AI 辅助研究中最易出现学术事故的环节。真正的风险不在于检索失败,而在于获得一份格式规范却并不存在的书目。本章所述流程,每一步均可核验。</w:t>
      </w: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2.1　文献检索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「帮我找工作倦怠与离职意向近三年的研究,英文的,15 篇左右」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「再找找中文文献,心理学报和心理科学上的」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「这些太老了,只要 2024 年之后的」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系统将同时检索多个学术数据库(OpenAlex、Crossref、EuropePMC 等),去重后一并给出题录、年份、被引次数与 DOI。「近三年」以实际当前年份计算。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撰写综述时,沿引用网络检索更为有效: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「这篇很关键,帮我找找引用了它的后续研究」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「顺着这篇的参考文献往回找源头」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5EE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E6B3A"/>
                <w:sz w:val="20"/>
              </w:rPr>
              <w:t>实用建议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关键词检索易遗漏措辞不同的重要文献;以公认的经典文献为起点前后追溯,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是更稳妥的综述路径。研究者只需指定种子文献。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2.2　全文获取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「把上面这几篇下载下来」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「第 3 篇和第 7 篇下载一下」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开放获取文献将直接下载至 outputs/pdfs 目录。遇付费墙时,系统不会就此中止,而是引导使用研究者本人的机构权限获取:</w:t>
      </w:r>
    </w:p>
    <w:p>
      <w:pPr>
        <w:pStyle w:val="ListNumber"/>
        <w:spacing w:after="60" w:line="336" w:lineRule="auto"/>
      </w:pPr>
      <w:r>
        <w:rPr>
          <w:rFonts w:ascii="Songti SC" w:hAnsi="Songti SC" w:eastAsia="Songti SC"/>
          <w:sz w:val="21"/>
        </w:rPr>
        <w:t>系统打开所在机构的访问入口(校园网代理或 LibKey);</w:t>
      </w:r>
    </w:p>
    <w:p>
      <w:pPr>
        <w:pStyle w:val="ListNumber"/>
        <w:spacing w:after="60" w:line="336" w:lineRule="auto"/>
      </w:pPr>
      <w:r>
        <w:rPr>
          <w:rFonts w:ascii="Songti SC" w:hAnsi="Songti SC" w:eastAsia="Songti SC"/>
          <w:sz w:val="21"/>
        </w:rPr>
        <w:t>在浏览器中以机构账号登录——该步骤须由研究者本人完成,PsyClaw 不接触账号与密码;</w:t>
      </w:r>
    </w:p>
    <w:p>
      <w:pPr>
        <w:pStyle w:val="ListNumber"/>
        <w:spacing w:after="60" w:line="336" w:lineRule="auto"/>
      </w:pPr>
      <w:r>
        <w:rPr>
          <w:rFonts w:ascii="Songti SC" w:hAnsi="Songti SC" w:eastAsia="Songti SC"/>
          <w:sz w:val="21"/>
        </w:rPr>
        <w:t>点击页面上的下载按钮,保存至默认下载目录即可,无需另存至指定位置,亦无需重命名;</w:t>
      </w:r>
    </w:p>
    <w:p>
      <w:pPr>
        <w:pStyle w:val="ListNumber"/>
        <w:spacing w:after="60" w:line="336" w:lineRule="auto"/>
      </w:pPr>
      <w:r>
        <w:rPr>
          <w:rFonts w:ascii="Songti SC" w:hAnsi="Songti SC" w:eastAsia="Songti SC"/>
          <w:sz w:val="21"/>
        </w:rPr>
        <w:t>返回对话说明已下载完成,系统将自动将文件收入项目,并按「作者_年份_题名」重新命名。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若已安装配套浏览器扩展,第 3 步亦可省去,系统将直接取回文件。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BF3E2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8A5A00"/>
                <w:sz w:val="20"/>
              </w:rPr>
              <w:t>关于付费墙文献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PsyClaw 不绕过任何付费墙,所使用的始终是研究者本人已有的机构权限。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若所在单位未订阅该刊,系统将如实告知无法获取,不作其他尝试。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使用 Zotero 者,可先在本人文库中检索: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「先在我的 Zotero 里看看有没有这几篇」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「把这篇加到我的 Zotero 文库」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「这篇我库里有全文,读一下它的方法部分」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2.3　引用真实性核查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该步骤应在交稿前执行: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「帮我核一下这份稿子里的参考文献,是不是每条都真实存在」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系统将稿件中每条参考文献送至学术数据库逐条查证,并严格区分以下三种结果: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814"/>
            <w:shd w:val="clear" w:fill="E8EDF3"/>
          </w:tcPr>
          <w:p>
            <w:r/>
            <w:r>
              <w:rPr>
                <w:rFonts w:ascii="Heiti SC" w:hAnsi="Heiti SC" w:eastAsia="Heiti SC"/>
                <w:b/>
                <w:sz w:val="19"/>
              </w:rPr>
              <w:t>结果</w:t>
            </w:r>
          </w:p>
        </w:tc>
        <w:tc>
          <w:tcPr>
            <w:tcW w:type="dxa" w:w="6463"/>
            <w:shd w:val="clear" w:fill="E8EDF3"/>
          </w:tcPr>
          <w:p>
            <w:r/>
            <w:r>
              <w:rPr>
                <w:rFonts w:ascii="Heiti SC" w:hAnsi="Heiti SC" w:eastAsia="Heiti SC"/>
                <w:b/>
                <w:sz w:val="19"/>
              </w:rPr>
              <w:t>含义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ongti SC" w:hAnsi="Songti SC" w:eastAsia="Songti SC"/>
                <w:sz w:val="18"/>
              </w:rPr>
              <w:t>查到了</w:t>
            </w:r>
          </w:p>
        </w:tc>
        <w:tc>
          <w:tcPr>
            <w:tcW w:type="dxa" w:w="6463"/>
          </w:tcPr>
          <w:p>
            <w:r/>
            <w:r>
              <w:rPr>
                <w:rFonts w:ascii="Songti SC" w:hAnsi="Songti SC" w:eastAsia="Songti SC"/>
                <w:sz w:val="18"/>
              </w:rPr>
              <w:t>该文献真实存在,作者与年份都对得上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ongti SC" w:hAnsi="Songti SC" w:eastAsia="Songti SC"/>
                <w:sz w:val="18"/>
              </w:rPr>
              <w:t>查无此文</w:t>
            </w:r>
          </w:p>
        </w:tc>
        <w:tc>
          <w:tcPr>
            <w:tcW w:type="dxa" w:w="6463"/>
          </w:tcPr>
          <w:p>
            <w:r/>
            <w:r>
              <w:rPr>
                <w:rFonts w:ascii="Songti SC" w:hAnsi="Songti SC" w:eastAsia="Songti SC"/>
                <w:sz w:val="18"/>
              </w:rPr>
              <w:t>疑似杜撰或著录有误,将明确标出待处理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ongti SC" w:hAnsi="Songti SC" w:eastAsia="Songti SC"/>
                <w:sz w:val="18"/>
              </w:rPr>
              <w:t>无法查证</w:t>
            </w:r>
          </w:p>
        </w:tc>
        <w:tc>
          <w:tcPr>
            <w:tcW w:type="dxa" w:w="6463"/>
          </w:tcPr>
          <w:p>
            <w:r/>
            <w:r>
              <w:rPr>
                <w:rFonts w:ascii="Songti SC" w:hAnsi="Songti SC" w:eastAsia="Songti SC"/>
                <w:sz w:val="18"/>
              </w:rPr>
              <w:t>网络不通,或该类文献本就不被数据库收录(如中文专著、内部报告)——只提示,不当作杜撰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F4E79"/>
                <w:sz w:val="20"/>
              </w:rPr>
              <w:t>该步骤的必要性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格式规整、卷期页码齐全、正文引用与文末列表完全一致的虚构条目,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仅凭人工查阅与格式检查无法识别,须经数据库实际查证。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「查无此文」与「无法查证」为两类不同结果,后者不会误判未被收录的中文文献。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Heiti SC" w:hAnsi="Heiti SC" w:eastAsia="Heiti SC"/>
          <w:b/>
          <w:color w:val="1A1A1A"/>
          <w:sz w:val="36"/>
        </w:rPr>
        <w:t>第三章　统计分析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研究者无需编写代码。说明研究问题、变量与数据位置后,系统将生成分析脚本、交由成熟统计库运行,并解读结果。脚本保存于 scripts/ 目录,可供他人复现验证。</w:t>
      </w:r>
    </w:p>
    <w:p>
      <w:pPr>
        <w:spacing w:after="40" w:line="360" w:lineRule="auto"/>
      </w:pPr>
      <w:r>
        <w:rPr>
          <w:rFonts w:ascii="Songti SC" w:hAnsi="Songti SC" w:eastAsia="Songti SC"/>
          <w:b w:val="0"/>
          <w:i w:val="0"/>
          <w:sz w:val="21"/>
        </w:rPr>
        <w:t>首次进行统计分析前,需安装统计库(仅需一次):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2F2F2"/>
          </w:tcPr>
          <w:p>
            <w:pPr>
              <w:spacing w:after="0" w:line="276" w:lineRule="auto"/>
            </w:pPr>
            <w:r/>
            <w:r>
              <w:rPr>
                <w:rFonts w:ascii="Menlo" w:hAnsi="Menlo"/>
                <w:color w:val="444444"/>
                <w:sz w:val="18"/>
              </w:rPr>
              <w:t>pip install "psyclaw[stats]"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3.1　分析前的准备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分析结果的可信度,很大程度上取决于分析计划确定于接触数据之前还是之后。因此第一步并非运行数据,而是记录分析计划。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「我要研究工作倦怠在工作满意度和离职意向之间的中介作用,帮我把研究准备清单过一遍」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「这个假设是确证性的,帮我先声明下来」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「我打算用中介分析,样本量需要多少?」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系统将逐项询问:结局如何定义、自变量如何操作化、排除标准为何、拟采用何种检验。完成后该清单将保存下来,供撰写方法部分、进行预注册与稿件检查时使用。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5EE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E6B3A"/>
                <w:sz w:val="20"/>
              </w:rPr>
              <w:t>实用建议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「先声明,后分析」并非形式要求。已声明的假设属确证性,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未经声明所得结果属探索性——二者在论文中的表述方式与证据分量截然不同。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PsyClaw 将守住这一界线,避免探索性结果被表述为确证性发现。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3.2　数据清理与量表计分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「数据在 data/clean/survey.csv,帮我看看这份数据什么情况」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「帮我按 MBI 的计分规则算总分,第 13、14 题是反向题」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「有没有明显乱答的被试?比如一直选同一个选项的」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系统可执行反向题翻转、子量表求和、缺失值处理,并识别可疑作答模式。量表计分规则由研究者提供一次(见附录 B),此后持续可用。</w:t>
      </w: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3.3　执行分析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「帮我做个中介分析,自变量工作满意度,中介变量倦怠,因变量离职意向」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「两组比较一下,看看性别有没有差异」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「帮我看看这些数据适不适合做回归,前提假设满足吗」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「把这个分析写成脚本,我要能自己重跑」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系统将生成脚本并运行,随后以日常语言解读结果:先说明结果的实际含义,再给出统计数值。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F4E79"/>
                <w:sz w:val="20"/>
              </w:rPr>
              <w:t>统计报告规范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· 必报效应量与 95% 置信区间,不止于 p 值;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· p 值大于 .05 即如实报告不显著,不使用「边缘显著」「显著趋势」等表述;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· 相关不等于因果,涉及因果的表述附带识别假设;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· 脚本未实际运行前,不提供含具体数值的「示例结果」。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3.4　完整流程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如需系统串联执行完整分析流程: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「帮我把这份数据的分析从头走一遍:先描述,再主分析,最后做稳健性检验」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「我要做元分析,效应量表在这个文件里」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「这是访谈转录稿,帮我做主题分析」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Heiti SC" w:hAnsi="Heiti SC" w:eastAsia="Heiti SC"/>
          <w:b/>
          <w:color w:val="1A1A1A"/>
          <w:sz w:val="36"/>
        </w:rPr>
        <w:t>第四章　论文写作与润色</w:t>
      </w: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4.1　撰写初稿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「根据上面的分析结果,帮我写方法部分」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「结果部分写一下,按 APA 格式报告」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「帮我把讨论部分的第二段改得紧凑一些」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「这段话太啰嗦了,精简到 150 字以内」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撰写过程遵循两条规则:统计数值仅使用实际运行所得结果,缺失处以「(待回填)」占位并在文末列出清单;引用仅使用检索所得真实文献,缺失处标注「(待补引)」,检索到后再行填补,不以看似合理的条目填充。</w:t>
      </w: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4.2　投稿前检查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「帮我按 APA 规范检查一下这份稿子」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「对照 JARS 清单看看还缺什么」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「帮我审一下这篇,像 Nature 审稿人那样,尽量挑刺」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检查将一次性汇总以下结果:JARS 清单是否存在遗漏、参考文献是否均真实存在、格式是否符合目标期刊要求、结论是否具备相应的分析支撑。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5EE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E6B3A"/>
                <w:sz w:val="20"/>
              </w:rPr>
              <w:t>内置审稿流程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审稿模拟基于从 1287 篇 Nature 审稿报告中提炼的流程: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分 12 个维度逐一审查,并给出可执行的修改建议。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投稿前先行自查,可显著降低因基础问题被拒的风险。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4.3　图表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「帮我画一张中介模型的路径图」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「把这三组的均值画成柱状图,APA 风格」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「这张图的纵轴是不是截断了?看着有点夸大」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图表保存至 figures/ 目录,中文标签正常显示。系统亦会提示截断坐标轴等易造成误导的呈现方式。</w:t>
      </w: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4.4　导出与投稿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「导出成 Word,APA7 格式」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「按心理学报的格式导出」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「这篇准备投心理科学,帮我看看格式要求对不对得上」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导出的 Word 文件版式确定:字体、行距、三级标题、参考文献悬挂缩进与页码位置均按目标期刊要求排布,图片真实嵌入。当前支持 APA7、心理学报、心理科学三种格式。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Heiti SC" w:hAnsi="Heiti SC" w:eastAsia="Heiti SC"/>
          <w:b/>
          <w:color w:val="1A1A1A"/>
          <w:sz w:val="36"/>
        </w:rPr>
        <w:t>第五章　使用建议与能力边界</w:t>
      </w: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5.1　使用建议</w:t>
      </w:r>
    </w:p>
    <w:p>
      <w:pPr>
        <w:pStyle w:val="ListBullet"/>
        <w:spacing w:after="60" w:line="336" w:lineRule="auto"/>
      </w:pPr>
      <w:r>
        <w:rPr>
          <w:rFonts w:ascii="Songti SC" w:hAnsi="Songti SC" w:eastAsia="Songti SC"/>
          <w:sz w:val="21"/>
        </w:rPr>
        <w:t>每项课题使用 psyclaw new 单独建立目录,进度与目标相互隔离。</w:t>
      </w:r>
    </w:p>
    <w:p>
      <w:pPr>
        <w:pStyle w:val="ListBullet"/>
        <w:spacing w:after="60" w:line="336" w:lineRule="auto"/>
      </w:pPr>
      <w:r>
        <w:rPr>
          <w:rFonts w:ascii="Songti SC" w:hAnsi="Songti SC" w:eastAsia="Songti SC"/>
          <w:sz w:val="21"/>
        </w:rPr>
        <w:t>开始时先说明研究目标,系统将予以记录,后续建议均围绕该目标给出。</w:t>
      </w:r>
    </w:p>
    <w:p>
      <w:pPr>
        <w:pStyle w:val="ListBullet"/>
        <w:spacing w:after="60" w:line="336" w:lineRule="auto"/>
      </w:pPr>
      <w:r>
        <w:rPr>
          <w:rFonts w:ascii="Songti SC" w:hAnsi="Songti SC" w:eastAsia="Songti SC"/>
          <w:sz w:val="21"/>
        </w:rPr>
        <w:t>过程中可询问当前进展,系统将汇报进度并给出后续建议。</w:t>
      </w:r>
    </w:p>
    <w:p>
      <w:pPr>
        <w:pStyle w:val="ListBullet"/>
        <w:spacing w:after="60" w:line="336" w:lineRule="auto"/>
      </w:pPr>
      <w:r>
        <w:rPr>
          <w:rFonts w:ascii="Songti SC" w:hAnsi="Songti SC" w:eastAsia="Songti SC"/>
          <w:sz w:val="21"/>
        </w:rPr>
        <w:t>对系统所做变更存疑时,可直接询问其改动了哪些文件。</w:t>
      </w:r>
    </w:p>
    <w:p>
      <w:pPr>
        <w:pStyle w:val="ListBullet"/>
        <w:spacing w:after="60" w:line="336" w:lineRule="auto"/>
      </w:pPr>
      <w:r>
        <w:rPr>
          <w:rFonts w:ascii="Songti SC" w:hAnsi="Songti SC" w:eastAsia="Songti SC"/>
          <w:sz w:val="21"/>
        </w:rPr>
        <w:t>若系统声称无法完成某项操作,而该功能理应存在,通常是未匹配到对应能力;更换表述重新提出即可。</w:t>
      </w: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5.2　能力边界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以下能力边界请在使用前知悉:</w:t>
      </w:r>
    </w:p>
    <w:p>
      <w:pPr>
        <w:pStyle w:val="ListNumber"/>
        <w:spacing w:after="60" w:line="336" w:lineRule="auto"/>
      </w:pPr>
      <w:r>
        <w:rPr>
          <w:rFonts w:ascii="Songti SC" w:hAnsi="Songti SC" w:eastAsia="Songti SC"/>
          <w:sz w:val="21"/>
        </w:rPr>
        <w:t>不代为构思研究问题。系统可协助厘清表述、指出逻辑漏洞,但选题仍由研究者决定。</w:t>
      </w:r>
    </w:p>
    <w:p>
      <w:pPr>
        <w:pStyle w:val="ListNumber"/>
        <w:spacing w:after="60" w:line="336" w:lineRule="auto"/>
      </w:pPr>
      <w:r>
        <w:rPr>
          <w:rFonts w:ascii="Songti SC" w:hAnsi="Songti SC" w:eastAsia="Songti SC"/>
          <w:sz w:val="21"/>
        </w:rPr>
        <w:t>不内置量表库。常用量表的条目与计分规则需由研究者提供一次(见附录 B),此后持续可用。</w:t>
      </w:r>
    </w:p>
    <w:p>
      <w:pPr>
        <w:pStyle w:val="ListNumber"/>
        <w:spacing w:after="60" w:line="336" w:lineRule="auto"/>
      </w:pPr>
      <w:r>
        <w:rPr>
          <w:rFonts w:ascii="Songti SC" w:hAnsi="Songti SC" w:eastAsia="Songti SC"/>
          <w:sz w:val="21"/>
        </w:rPr>
        <w:t>无法获取所在单位未订阅的文献。系统使用的是研究者本人的机构权限,权限不足时不作其他尝试。</w:t>
      </w:r>
    </w:p>
    <w:p>
      <w:pPr>
        <w:pStyle w:val="ListNumber"/>
        <w:spacing w:after="60" w:line="336" w:lineRule="auto"/>
      </w:pPr>
      <w:r>
        <w:rPr>
          <w:rFonts w:ascii="Songti SC" w:hAnsi="Songti SC" w:eastAsia="Songti SC"/>
          <w:sz w:val="21"/>
        </w:rPr>
        <w:t>不承担学术责任。全部统计解读与文献引用最终均须研究者本人复核——论文的责任作者是研究者。</w:t>
      </w: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5.3　风险提示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BF3E2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8A5A00"/>
                <w:sz w:val="20"/>
              </w:rPr>
              <w:t>务必留意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· 关键引用须阅读原文。查证仅能确认文献真实存在,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 xml:space="preserve">  不能确认其支持所提出的论点;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· 涉及被试隐私的数据,发送至模型前须确认符合所在伦理委员会要求;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· 原始数据须自行备份。PsyClaw 不写入 data/ 目录,但备份责任在研究者;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· AI 生成的全部内容,发表后署名的是研究者本人。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5.4　问题排查</w:t>
      </w:r>
    </w:p>
    <w:p>
      <w:pPr>
        <w:spacing w:after="40" w:line="360" w:lineRule="auto"/>
      </w:pPr>
      <w:r>
        <w:rPr>
          <w:rFonts w:ascii="Songti SC" w:hAnsi="Songti SC" w:eastAsia="Songti SC"/>
          <w:b w:val="0"/>
          <w:i w:val="0"/>
          <w:sz w:val="21"/>
        </w:rPr>
        <w:t>可在对话中直接说明问题,例如某步骤报错或结果异常,系统通常可自行定位。若属环境问题,在终端执行: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2F2F2"/>
          </w:tcPr>
          <w:p>
            <w:pPr>
              <w:spacing w:after="0" w:line="276" w:lineRule="auto"/>
            </w:pPr>
            <w:r/>
            <w:r>
              <w:rPr>
                <w:rFonts w:ascii="Menlo" w:hAnsi="Menlo"/>
                <w:color w:val="444444"/>
                <w:sz w:val="18"/>
              </w:rPr>
              <w:t>psyclaw doctor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仍无法解决时,请将当时的原始输出提交至项目页面:https://github.com/Exekiel179/psyclaw/issues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Heiti SC" w:hAnsi="Heiti SC" w:eastAsia="Heiti SC"/>
          <w:b/>
          <w:color w:val="1A1A1A"/>
          <w:sz w:val="36"/>
        </w:rPr>
        <w:t>第六章　流程编排与能力扩展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前几章介绍的是单步操作。当研究进入需要多步骤串联的阶段时,可使用流程编排;当内置能力不足时,可通过 skill 与 MCP 扩展。</w:t>
      </w: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6.1　四类研究流程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流程会自动串联「设计 → 执行 → 产出 → 评审」各环节,并在每个环节留下可复现的记录。可在对话中直接说明,亦可在终端指定流程类型。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474"/>
            <w:shd w:val="clear" w:fill="E8EDF3"/>
          </w:tcPr>
          <w:p>
            <w:r/>
            <w:r>
              <w:rPr>
                <w:rFonts w:ascii="Heiti SC" w:hAnsi="Heiti SC" w:eastAsia="Heiti SC"/>
                <w:b/>
                <w:sz w:val="19"/>
              </w:rPr>
              <w:t>流程</w:t>
            </w:r>
          </w:p>
        </w:tc>
        <w:tc>
          <w:tcPr>
            <w:tcW w:type="dxa" w:w="1928"/>
            <w:shd w:val="clear" w:fill="E8EDF3"/>
          </w:tcPr>
          <w:p>
            <w:r/>
            <w:r>
              <w:rPr>
                <w:rFonts w:ascii="Heiti SC" w:hAnsi="Heiti SC" w:eastAsia="Heiti SC"/>
                <w:b/>
                <w:sz w:val="19"/>
              </w:rPr>
              <w:t>适用研究类型</w:t>
            </w:r>
          </w:p>
        </w:tc>
        <w:tc>
          <w:tcPr>
            <w:tcW w:type="dxa" w:w="5102"/>
            <w:shd w:val="clear" w:fill="E8EDF3"/>
          </w:tcPr>
          <w:p>
            <w:r/>
            <w:r>
              <w:rPr>
                <w:rFonts w:ascii="Heiti SC" w:hAnsi="Heiti SC" w:eastAsia="Heiti SC"/>
                <w:b/>
                <w:sz w:val="19"/>
              </w:rPr>
              <w:t>主要环节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ongti SC" w:hAnsi="Songti SC" w:eastAsia="Songti SC"/>
                <w:sz w:val="18"/>
              </w:rPr>
              <w:t>analysis</w:t>
            </w:r>
          </w:p>
        </w:tc>
        <w:tc>
          <w:tcPr>
            <w:tcW w:type="dxa" w:w="1928"/>
          </w:tcPr>
          <w:p>
            <w:r/>
            <w:r>
              <w:rPr>
                <w:rFonts w:ascii="Songti SC" w:hAnsi="Songti SC" w:eastAsia="Songti SC"/>
                <w:sz w:val="18"/>
              </w:rPr>
              <w:t>实证数据分析</w:t>
            </w:r>
          </w:p>
        </w:tc>
        <w:tc>
          <w:tcPr>
            <w:tcW w:type="dxa" w:w="5102"/>
          </w:tcPr>
          <w:p>
            <w:r/>
            <w:r>
              <w:rPr>
                <w:rFonts w:ascii="Songti SC" w:hAnsi="Songti SC" w:eastAsia="Songti SC"/>
                <w:sz w:val="18"/>
              </w:rPr>
              <w:t>数据画像 → 设计核对 → 推荐分析并生成脚本 → 结果评审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ongti SC" w:hAnsi="Songti SC" w:eastAsia="Songti SC"/>
                <w:sz w:val="18"/>
              </w:rPr>
              <w:t>meta</w:t>
            </w:r>
          </w:p>
        </w:tc>
        <w:tc>
          <w:tcPr>
            <w:tcW w:type="dxa" w:w="1928"/>
          </w:tcPr>
          <w:p>
            <w:r/>
            <w:r>
              <w:rPr>
                <w:rFonts w:ascii="Songti SC" w:hAnsi="Songti SC" w:eastAsia="Songti SC"/>
                <w:sz w:val="18"/>
              </w:rPr>
              <w:t>元分析</w:t>
            </w:r>
          </w:p>
        </w:tc>
        <w:tc>
          <w:tcPr>
            <w:tcW w:type="dxa" w:w="5102"/>
          </w:tcPr>
          <w:p>
            <w:r/>
            <w:r>
              <w:rPr>
                <w:rFonts w:ascii="Songti SC" w:hAnsi="Songti SC" w:eastAsia="Songti SC"/>
                <w:sz w:val="18"/>
              </w:rPr>
              <w:t>效应量表校验 → 生成可复现脚本 → 撰写 → 评审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ongti SC" w:hAnsi="Songti SC" w:eastAsia="Songti SC"/>
                <w:sz w:val="18"/>
              </w:rPr>
              <w:t>literature</w:t>
            </w:r>
          </w:p>
        </w:tc>
        <w:tc>
          <w:tcPr>
            <w:tcW w:type="dxa" w:w="1928"/>
          </w:tcPr>
          <w:p>
            <w:r/>
            <w:r>
              <w:rPr>
                <w:rFonts w:ascii="Songti SC" w:hAnsi="Songti SC" w:eastAsia="Songti SC"/>
                <w:sz w:val="18"/>
              </w:rPr>
              <w:t>文献综述</w:t>
            </w:r>
          </w:p>
        </w:tc>
        <w:tc>
          <w:tcPr>
            <w:tcW w:type="dxa" w:w="5102"/>
          </w:tcPr>
          <w:p>
            <w:r/>
            <w:r>
              <w:rPr>
                <w:rFonts w:ascii="Songti SC" w:hAnsi="Songti SC" w:eastAsia="Songti SC"/>
                <w:sz w:val="18"/>
              </w:rPr>
              <w:t>研究准备 → 检索 → PRISMA 筛选 → 综述合成 → 评审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ongti SC" w:hAnsi="Songti SC" w:eastAsia="Songti SC"/>
                <w:sz w:val="18"/>
              </w:rPr>
              <w:t>qualitative</w:t>
            </w:r>
          </w:p>
        </w:tc>
        <w:tc>
          <w:tcPr>
            <w:tcW w:type="dxa" w:w="1928"/>
          </w:tcPr>
          <w:p>
            <w:r/>
            <w:r>
              <w:rPr>
                <w:rFonts w:ascii="Songti SC" w:hAnsi="Songti SC" w:eastAsia="Songti SC"/>
                <w:sz w:val="18"/>
              </w:rPr>
              <w:t>质性研究</w:t>
            </w:r>
          </w:p>
        </w:tc>
        <w:tc>
          <w:tcPr>
            <w:tcW w:type="dxa" w:w="5102"/>
          </w:tcPr>
          <w:p>
            <w:r/>
            <w:r>
              <w:rPr>
                <w:rFonts w:ascii="Songti SC" w:hAnsi="Songti SC" w:eastAsia="Songti SC"/>
                <w:sz w:val="18"/>
              </w:rPr>
              <w:t>载入转录稿 → 设计 → 主题分析 → COREQ 报告 → 评审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「帮我把这份数据的实证分析流程完整走一遍,数据在 data/clean/survey.csv」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「我要做一个关于正念干预的元分析,效应量表已经整理好了」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「帮我做工作倦怠这个主题的文献综述,要按 PRISMA 流程」</w:t>
            </w:r>
          </w:p>
        </w:tc>
      </w:tr>
    </w:tbl>
    <w:p>
      <w:pPr>
        <w:spacing w:after="80"/>
      </w:pPr>
    </w:p>
    <w:p>
      <w:pPr>
        <w:spacing w:after="40" w:line="360" w:lineRule="auto"/>
      </w:pPr>
      <w:r>
        <w:rPr>
          <w:rFonts w:ascii="Songti SC" w:hAnsi="Songti SC" w:eastAsia="Songti SC"/>
          <w:b w:val="0"/>
          <w:i w:val="0"/>
          <w:sz w:val="21"/>
        </w:rPr>
        <w:t>对应的终端形式(需要精确控制时使用):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2F2F2"/>
          </w:tcPr>
          <w:p>
            <w:pPr>
              <w:spacing w:after="0" w:line="276" w:lineRule="auto"/>
            </w:pPr>
            <w:r/>
            <w:r>
              <w:rPr>
                <w:rFonts w:ascii="Menlo" w:hAnsi="Menlo"/>
                <w:color w:val="444444"/>
                <w:sz w:val="18"/>
              </w:rPr>
              <w:t>psyclaw run analysis data/clean/survey.csv</w:t>
            </w:r>
          </w:p>
          <w:p>
            <w:pPr>
              <w:spacing w:after="0" w:line="276" w:lineRule="auto"/>
            </w:pPr>
            <w:r>
              <w:rPr>
                <w:rFonts w:ascii="Menlo" w:hAnsi="Menlo"/>
                <w:color w:val="444444"/>
                <w:sz w:val="18"/>
              </w:rPr>
              <w:t>psyclaw run literature --topic 工作倦怠与离职意向</w:t>
            </w:r>
          </w:p>
          <w:p>
            <w:pPr>
              <w:spacing w:after="0" w:line="276" w:lineRule="auto"/>
            </w:pPr>
            <w:r>
              <w:rPr>
                <w:rFonts w:ascii="Menlo" w:hAnsi="Menlo"/>
                <w:color w:val="444444"/>
                <w:sz w:val="18"/>
              </w:rPr>
              <w:t>psyclaw run qualitative data/transcripts/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三个常用选项:--confirm-each 在每步完成后暂停确认;--resume 从上次中断处继续;--exploratory 允许跳过未完成的前置检查,产出将被明确标注为探索性。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F4E79"/>
                <w:sz w:val="20"/>
              </w:rPr>
              <w:t>关于自动推进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除上述四类流程外,还可让系统根据项目当前状态自主决定下一步: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在对话中说明「按现在的进度继续推进」即可。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强制性检查与不可逆决策仍会暂停并征求同意,不会一路跑到底。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6.2　skill:把方法学流程装进来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skill 是一份结构化的方法学流程说明。系统内置若干 skill,在对话涉及相应主题时自动调用,无需手动指定。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494"/>
            <w:shd w:val="clear" w:fill="E8EDF3"/>
          </w:tcPr>
          <w:p>
            <w:r/>
            <w:r>
              <w:rPr>
                <w:rFonts w:ascii="Heiti SC" w:hAnsi="Heiti SC" w:eastAsia="Heiti SC"/>
                <w:b/>
                <w:sz w:val="19"/>
              </w:rPr>
              <w:t>内置 skill</w:t>
            </w:r>
          </w:p>
        </w:tc>
        <w:tc>
          <w:tcPr>
            <w:tcW w:type="dxa" w:w="6123"/>
            <w:shd w:val="clear" w:fill="E8EDF3"/>
          </w:tcPr>
          <w:p>
            <w:r/>
            <w:r>
              <w:rPr>
                <w:rFonts w:ascii="Heiti SC" w:hAnsi="Heiti SC" w:eastAsia="Heiti SC"/>
                <w:b/>
                <w:sz w:val="19"/>
              </w:rPr>
              <w:t>用途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nature-review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Nature 级同行评审与回复信撰写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sample-size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样本量估算(功效分析)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confound-control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无关变量与混淆变量的控制流程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analysis-planning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实证分析计划制定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lit-review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文献综述与证据合成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pingouin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统计函数选择指南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paper-review-gates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稿件评审与质量把关</w:t>
            </w:r>
          </w:p>
        </w:tc>
      </w:tr>
    </w:tbl>
    <w:p>
      <w:pPr>
        <w:spacing w:after="80"/>
      </w:pPr>
    </w:p>
    <w:p>
      <w:pPr>
        <w:spacing w:after="40" w:line="360" w:lineRule="auto"/>
      </w:pPr>
      <w:r>
        <w:rPr>
          <w:rFonts w:ascii="Songti SC" w:hAnsi="Songti SC" w:eastAsia="Songti SC"/>
          <w:b w:val="0"/>
          <w:i w:val="0"/>
          <w:sz w:val="21"/>
        </w:rPr>
        <w:t>亦可安装第三方 skill。在终端执行: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2F2F2"/>
          </w:tcPr>
          <w:p>
            <w:pPr>
              <w:spacing w:after="0" w:line="276" w:lineRule="auto"/>
            </w:pPr>
            <w:r/>
            <w:r>
              <w:rPr>
                <w:rFonts w:ascii="Menlo" w:hAnsi="Menlo"/>
                <w:color w:val="444444"/>
                <w:sz w:val="18"/>
              </w:rPr>
              <w:t>psyclaw skill install https://github.com/用户名/仓库名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安装后的 skill 位于项目的 .claude/skills 目录,系统会自动发现并纳入调用范围。查看当前已装载的 skill,在对话中询问即可。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BF3E2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8A5A00"/>
                <w:sz w:val="20"/>
              </w:rPr>
              <w:t>安全提示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skill 安装仅接受 https 协议的 GitHub 地址。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第三方 skill 的内容会进入系统提示并影响模型行为,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请确认来源可信后再安装。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6.3　MCP:接入外部统计软件与服务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MCP(Model Context Protocol)用于把外部工具接入对话。配置完成后,这些工具与内置能力一样可被直接调用。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948"/>
            <w:shd w:val="clear" w:fill="E8EDF3"/>
          </w:tcPr>
          <w:p>
            <w:r/>
            <w:r>
              <w:rPr>
                <w:rFonts w:ascii="Heiti SC" w:hAnsi="Heiti SC" w:eastAsia="Heiti SC"/>
                <w:b/>
                <w:sz w:val="19"/>
              </w:rPr>
              <w:t>MCP 服务</w:t>
            </w:r>
          </w:p>
        </w:tc>
        <w:tc>
          <w:tcPr>
            <w:tcW w:type="dxa" w:w="5669"/>
            <w:shd w:val="clear" w:fill="E8EDF3"/>
          </w:tcPr>
          <w:p>
            <w:r/>
            <w:r>
              <w:rPr>
                <w:rFonts w:ascii="Heiti SC" w:hAnsi="Heiti SC" w:eastAsia="Heiti SC"/>
                <w:b/>
                <w:sz w:val="19"/>
              </w:rPr>
              <w:t>用途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Songti SC" w:hAnsi="Songti SC" w:eastAsia="Songti SC"/>
                <w:sz w:val="18"/>
              </w:rPr>
              <w:t>pystat</w:t>
            </w:r>
          </w:p>
        </w:tc>
        <w:tc>
          <w:tcPr>
            <w:tcW w:type="dxa" w:w="5669"/>
          </w:tcPr>
          <w:p>
            <w:r/>
            <w:r>
              <w:rPr>
                <w:rFonts w:ascii="Songti SC" w:hAnsi="Songti SC" w:eastAsia="Songti SC"/>
                <w:sz w:val="18"/>
              </w:rPr>
              <w:t>Python 统计计算(psyclaw 的统计委托通道)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Songti SC" w:hAnsi="Songti SC" w:eastAsia="Songti SC"/>
                <w:sz w:val="18"/>
              </w:rPr>
              <w:t>r-mcp</w:t>
            </w:r>
          </w:p>
        </w:tc>
        <w:tc>
          <w:tcPr>
            <w:tcW w:type="dxa" w:w="5669"/>
          </w:tcPr>
          <w:p>
            <w:r/>
            <w:r>
              <w:rPr>
                <w:rFonts w:ascii="Songti SC" w:hAnsi="Songti SC" w:eastAsia="Songti SC"/>
                <w:sz w:val="18"/>
              </w:rPr>
              <w:t>调用本机 R 环境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Songti SC" w:hAnsi="Songti SC" w:eastAsia="Songti SC"/>
                <w:sz w:val="18"/>
              </w:rPr>
              <w:t>spss-mcp / stata-mcp / mplus-mcp</w:t>
            </w:r>
          </w:p>
        </w:tc>
        <w:tc>
          <w:tcPr>
            <w:tcW w:type="dxa" w:w="5669"/>
          </w:tcPr>
          <w:p>
            <w:r/>
            <w:r>
              <w:rPr>
                <w:rFonts w:ascii="Songti SC" w:hAnsi="Songti SC" w:eastAsia="Songti SC"/>
                <w:sz w:val="18"/>
              </w:rPr>
              <w:t>调用 SPSS、Stata、Mplus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Songti SC" w:hAnsi="Songti SC" w:eastAsia="Songti SC"/>
                <w:sz w:val="18"/>
              </w:rPr>
              <w:t>mne-mcp</w:t>
            </w:r>
          </w:p>
        </w:tc>
        <w:tc>
          <w:tcPr>
            <w:tcW w:type="dxa" w:w="5669"/>
          </w:tcPr>
          <w:p>
            <w:r/>
            <w:r>
              <w:rPr>
                <w:rFonts w:ascii="Songti SC" w:hAnsi="Songti SC" w:eastAsia="Songti SC"/>
                <w:sz w:val="18"/>
              </w:rPr>
              <w:t>脑电与脑磁数据处理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Songti SC" w:hAnsi="Songti SC" w:eastAsia="Songti SC"/>
                <w:sz w:val="18"/>
              </w:rPr>
              <w:t>zotero-mcp</w:t>
            </w:r>
          </w:p>
        </w:tc>
        <w:tc>
          <w:tcPr>
            <w:tcW w:type="dxa" w:w="5669"/>
          </w:tcPr>
          <w:p>
            <w:r/>
            <w:r>
              <w:rPr>
                <w:rFonts w:ascii="Songti SC" w:hAnsi="Songti SC" w:eastAsia="Songti SC"/>
                <w:sz w:val="18"/>
              </w:rPr>
              <w:t>Zotero 文献管理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Songti SC" w:hAnsi="Songti SC" w:eastAsia="Songti SC"/>
                <w:sz w:val="18"/>
              </w:rPr>
              <w:t>osf-mcp</w:t>
            </w:r>
          </w:p>
        </w:tc>
        <w:tc>
          <w:tcPr>
            <w:tcW w:type="dxa" w:w="5669"/>
          </w:tcPr>
          <w:p>
            <w:r/>
            <w:r>
              <w:rPr>
                <w:rFonts w:ascii="Songti SC" w:hAnsi="Songti SC" w:eastAsia="Songti SC"/>
                <w:sz w:val="18"/>
              </w:rPr>
              <w:t>OSF 预注册与资料托管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Songti SC" w:hAnsi="Songti SC" w:eastAsia="Songti SC"/>
                <w:sz w:val="18"/>
              </w:rPr>
              <w:t>sequential-thinking</w:t>
            </w:r>
          </w:p>
        </w:tc>
        <w:tc>
          <w:tcPr>
            <w:tcW w:type="dxa" w:w="5669"/>
          </w:tcPr>
          <w:p>
            <w:r/>
            <w:r>
              <w:rPr>
                <w:rFonts w:ascii="Songti SC" w:hAnsi="Songti SC" w:eastAsia="Songti SC"/>
                <w:sz w:val="18"/>
              </w:rPr>
              <w:t>复杂问题的分步推理</w:t>
            </w:r>
          </w:p>
        </w:tc>
      </w:tr>
    </w:tbl>
    <w:p>
      <w:pPr>
        <w:spacing w:after="80"/>
      </w:pPr>
    </w:p>
    <w:p>
      <w:pPr>
        <w:spacing w:after="40" w:line="360" w:lineRule="auto"/>
      </w:pPr>
      <w:r>
        <w:rPr>
          <w:rFonts w:ascii="Songti SC" w:hAnsi="Songti SC" w:eastAsia="Songti SC"/>
          <w:b w:val="0"/>
          <w:i w:val="0"/>
          <w:sz w:val="21"/>
        </w:rPr>
        <w:t>查看目录与启用状态: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2F2F2"/>
          </w:tcPr>
          <w:p>
            <w:pPr>
              <w:spacing w:after="0" w:line="276" w:lineRule="auto"/>
            </w:pPr>
            <w:r/>
            <w:r>
              <w:rPr>
                <w:rFonts w:ascii="Menlo" w:hAnsi="Menlo"/>
                <w:color w:val="444444"/>
                <w:sz w:val="18"/>
              </w:rPr>
              <w:t>psyclaw mcp        # 查看 MCP 目录与当前启用状态</w:t>
            </w:r>
          </w:p>
          <w:p>
            <w:pPr>
              <w:spacing w:after="0" w:line="276" w:lineRule="auto"/>
            </w:pPr>
            <w:r>
              <w:rPr>
                <w:rFonts w:ascii="Menlo" w:hAnsi="Menlo"/>
                <w:color w:val="444444"/>
                <w:sz w:val="18"/>
              </w:rPr>
              <w:t>psyclaw config     # 配置向导中可完成密钥与路径设置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已有 SPSS、Mplus 使用习惯的研究者,可通过对应 MCP 继续使用原有软件,由 PsyClaw 负责流程串联与结果归档。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5EE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E6B3A"/>
                <w:sz w:val="20"/>
              </w:rPr>
              <w:t>实用建议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MCP 采用惰性加载:未实际调用时不会占用上下文,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因此可以按需配置多个而不必担心影响日常对话的响应速度。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Heiti SC" w:hAnsi="Heiti SC" w:eastAsia="Heiti SC"/>
          <w:b/>
          <w:color w:val="1A1A1A"/>
          <w:sz w:val="36"/>
        </w:rPr>
        <w:t>附录 A　常用表述速查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下表左列为常见需求,右列为可直接采用的表述。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494"/>
            <w:shd w:val="clear" w:fill="E8EDF3"/>
          </w:tcPr>
          <w:p>
            <w:r/>
            <w:r>
              <w:rPr>
                <w:rFonts w:ascii="Heiti SC" w:hAnsi="Heiti SC" w:eastAsia="Heiti SC"/>
                <w:b/>
                <w:sz w:val="19"/>
              </w:rPr>
              <w:t>想做的事</w:t>
            </w:r>
          </w:p>
        </w:tc>
        <w:tc>
          <w:tcPr>
            <w:tcW w:type="dxa" w:w="6123"/>
            <w:shd w:val="clear" w:fill="E8EDF3"/>
          </w:tcPr>
          <w:p>
            <w:r/>
            <w:r>
              <w:rPr>
                <w:rFonts w:ascii="Heiti SC" w:hAnsi="Heiti SC" w:eastAsia="Heiti SC"/>
                <w:b/>
                <w:sz w:val="19"/>
              </w:rPr>
              <w:t>可以这样说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开始一个新研究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我要研究 X 对 Y 的影响,先把研究准备清单过一遍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找文献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帮我找 X 近三年的研究,15 篇左右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顺着引用找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帮我找找引用了这篇的后续研究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下载全文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把上面这几篇下载下来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用机构权限拿付费文章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这篇有付费墙,帮我走机构权限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查我的 Zotero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先在我的 Zotero 里看看有没有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核查引用真伪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核一下这稿子里的参考文献是不是都真实存在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看数据情况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数据在这个文件,帮我看看什么情况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量表计分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按这个量表的规则算总分,第 N 题是反向题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做分析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帮我做个中介分析,自变量 X,中介 M,因变量 Y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检查前提假设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这些数据适合做回归吗,前提假设满足吗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写稿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根据分析结果帮我写方法部分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润色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这段太啰嗦,精简到 150 字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规范检查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按 APA 规范检查一下这份稿子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模拟审稿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帮我审一下这篇,尽量挑刺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画图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把这三组均值画成柱状图,APA 风格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导出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导出成心理学报格式的 Word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看进度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现在进展到哪了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走完整分析流程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帮我把这份数据的实证分析流程完整走一遍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做文献综述流程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帮我做这个主题的文献综述,按 PRISMA 流程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自主推进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按现在的进度继续推进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放宽审批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/approval auto(批量操作时用,完成后切回)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收紧文件访问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/access safe(处理未公开数据时用)</w:t>
            </w:r>
          </w:p>
        </w:tc>
      </w:tr>
    </w:tbl>
    <w:p>
      <w:pPr>
        <w:spacing w:after="80"/>
      </w:pPr>
    </w:p>
    <w:p>
      <w:pPr>
        <w:pStyle w:val="Heading1"/>
        <w:spacing w:before="360" w:after="160"/>
      </w:pPr>
      <w:r>
        <w:rPr>
          <w:rFonts w:ascii="Heiti SC" w:hAnsi="Heiti SC" w:eastAsia="Heiti SC"/>
          <w:b/>
          <w:color w:val="1A1A1A"/>
          <w:sz w:val="36"/>
        </w:rPr>
        <w:t>附录 B　自定义量表配置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PsyClaw 不内置量表库——常用量表版本众多、计分规则各异,内置不完整的量表库反而易致误用。研究者提供一次所用量表,此后持续可用。</w:t>
      </w:r>
    </w:p>
    <w:p>
      <w:pPr>
        <w:spacing w:after="40" w:line="360" w:lineRule="auto"/>
      </w:pPr>
      <w:r>
        <w:rPr>
          <w:rFonts w:ascii="Songti SC" w:hAnsi="Songti SC" w:eastAsia="Songti SC"/>
          <w:b w:val="0"/>
          <w:i w:val="0"/>
          <w:sz w:val="21"/>
        </w:rPr>
        <w:t>最简便的方式是在对话中直接说明: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「我要用 MBI 通用版,16 题,0–6 计分,第 13、14 题反向,分三个维度:情绪衰竭 1–5 题,玩世不恭 6–9 题,职业效能 10–16 题。帮我把它加到量表定义里」</w:t>
            </w:r>
          </w:p>
        </w:tc>
      </w:tr>
    </w:tbl>
    <w:p>
      <w:pPr>
        <w:spacing w:after="80"/>
      </w:pPr>
    </w:p>
    <w:p>
      <w:pPr>
        <w:spacing w:after="40" w:line="360" w:lineRule="auto"/>
      </w:pPr>
      <w:r>
        <w:rPr>
          <w:rFonts w:ascii="Songti SC" w:hAnsi="Songti SC" w:eastAsia="Songti SC"/>
          <w:b w:val="0"/>
          <w:i w:val="0"/>
          <w:sz w:val="21"/>
        </w:rPr>
        <w:t>系统将生成量表定义文件保存至项目中。亦可自行在 .psyclaw/scales/ 目录下编写,格式如下: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2F2F2"/>
          </w:tcPr>
          <w:p>
            <w:pPr>
              <w:spacing w:after="0" w:line="276" w:lineRule="auto"/>
            </w:pPr>
            <w:r/>
            <w:r>
              <w:rPr>
                <w:rFonts w:ascii="Menlo" w:hAnsi="Menlo"/>
                <w:color w:val="444444"/>
                <w:sz w:val="18"/>
              </w:rPr>
              <w:t>- id: mbi-gs</w:t>
            </w:r>
          </w:p>
          <w:p>
            <w:pPr>
              <w:spacing w:after="0" w:line="276" w:lineRule="auto"/>
            </w:pPr>
            <w:r>
              <w:rPr>
                <w:rFonts w:ascii="Menlo" w:hAnsi="Menlo"/>
                <w:color w:val="444444"/>
                <w:sz w:val="18"/>
              </w:rPr>
              <w:t xml:space="preserve">  name: Maslach 倦怠量表(通用版)</w:t>
            </w:r>
          </w:p>
          <w:p>
            <w:pPr>
              <w:spacing w:after="0" w:line="276" w:lineRule="auto"/>
            </w:pPr>
            <w:r>
              <w:rPr>
                <w:rFonts w:ascii="Menlo" w:hAnsi="Menlo"/>
                <w:color w:val="444444"/>
                <w:sz w:val="18"/>
              </w:rPr>
              <w:t xml:space="preserve">  items: 16</w:t>
            </w:r>
          </w:p>
          <w:p>
            <w:pPr>
              <w:spacing w:after="0" w:line="276" w:lineRule="auto"/>
            </w:pPr>
            <w:r>
              <w:rPr>
                <w:rFonts w:ascii="Menlo" w:hAnsi="Menlo"/>
                <w:color w:val="444444"/>
                <w:sz w:val="18"/>
              </w:rPr>
              <w:t xml:space="preserve">  scale_min: 0</w:t>
            </w:r>
          </w:p>
          <w:p>
            <w:pPr>
              <w:spacing w:after="0" w:line="276" w:lineRule="auto"/>
            </w:pPr>
            <w:r>
              <w:rPr>
                <w:rFonts w:ascii="Menlo" w:hAnsi="Menlo"/>
                <w:color w:val="444444"/>
                <w:sz w:val="18"/>
              </w:rPr>
              <w:t xml:space="preserve">  scale_max: 6</w:t>
            </w:r>
          </w:p>
          <w:p>
            <w:pPr>
              <w:spacing w:after="0" w:line="276" w:lineRule="auto"/>
            </w:pPr>
            <w:r>
              <w:rPr>
                <w:rFonts w:ascii="Menlo" w:hAnsi="Menlo"/>
                <w:color w:val="444444"/>
                <w:sz w:val="18"/>
              </w:rPr>
              <w:t xml:space="preserve">  reverse: [13, 14]</w:t>
            </w:r>
          </w:p>
          <w:p>
            <w:pPr>
              <w:spacing w:after="0" w:line="276" w:lineRule="auto"/>
            </w:pPr>
            <w:r>
              <w:rPr>
                <w:rFonts w:ascii="Menlo" w:hAnsi="Menlo"/>
                <w:color w:val="444444"/>
                <w:sz w:val="18"/>
              </w:rPr>
              <w:t xml:space="preserve">  subscales:</w:t>
            </w:r>
          </w:p>
          <w:p>
            <w:pPr>
              <w:spacing w:after="0" w:line="276" w:lineRule="auto"/>
            </w:pPr>
            <w:r>
              <w:rPr>
                <w:rFonts w:ascii="Menlo" w:hAnsi="Menlo"/>
                <w:color w:val="444444"/>
                <w:sz w:val="18"/>
              </w:rPr>
              <w:t xml:space="preserve">    情绪衰竭: [1, 2, 3, 4, 5]</w:t>
            </w:r>
          </w:p>
          <w:p>
            <w:pPr>
              <w:spacing w:after="0" w:line="276" w:lineRule="auto"/>
            </w:pPr>
            <w:r>
              <w:rPr>
                <w:rFonts w:ascii="Menlo" w:hAnsi="Menlo"/>
                <w:color w:val="444444"/>
                <w:sz w:val="18"/>
              </w:rPr>
              <w:t xml:space="preserve">    玩世不恭: [6, 7, 8, 9]</w:t>
            </w:r>
          </w:p>
          <w:p>
            <w:pPr>
              <w:spacing w:after="0" w:line="276" w:lineRule="auto"/>
            </w:pPr>
            <w:r>
              <w:rPr>
                <w:rFonts w:ascii="Menlo" w:hAnsi="Menlo"/>
                <w:color w:val="444444"/>
                <w:sz w:val="18"/>
              </w:rPr>
              <w:t xml:space="preserve">    职业效能: [10, 11, 12, 13, 14, 15, 16]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5EE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E6B3A"/>
                <w:sz w:val="20"/>
              </w:rPr>
              <w:t>实用建议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量表定义编写一次即可跨研究复用。建议将课题组常用量表一次性配置完成,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并在 name 字段注明所用中文修订版本及来源文献——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撰写方法部分时需引用。</w:t>
            </w:r>
          </w:p>
        </w:tc>
      </w:tr>
    </w:tbl>
    <w:p>
      <w:pPr>
        <w:spacing w:after="80"/>
      </w:pPr>
    </w:p>
    <w:p>
      <w:pPr>
        <w:pStyle w:val="Heading1"/>
        <w:spacing w:before="360" w:after="160"/>
      </w:pPr>
      <w:r>
        <w:rPr>
          <w:rFonts w:ascii="Heiti SC" w:hAnsi="Heiti SC" w:eastAsia="Heiti SC"/>
          <w:b/>
          <w:color w:val="1A1A1A"/>
          <w:sz w:val="36"/>
        </w:rPr>
        <w:t>附录 C　常见问题</w:t>
      </w:r>
    </w:p>
    <w:p>
      <w:pPr>
        <w:spacing w:after="40" w:line="360" w:lineRule="auto"/>
      </w:pPr>
      <w:r>
        <w:rPr>
          <w:rFonts w:ascii="Songti SC" w:hAnsi="Songti SC" w:eastAsia="Songti SC"/>
          <w:b/>
          <w:i w:val="0"/>
          <w:sz w:val="21"/>
        </w:rPr>
        <w:t>问:一定要联网吗?</w:t>
      </w:r>
    </w:p>
    <w:p>
      <w:pPr>
        <w:spacing w:after="160" w:line="360" w:lineRule="auto"/>
      </w:pPr>
      <w:r>
        <w:rPr>
          <w:rFonts w:ascii="Songti SC" w:hAnsi="Songti SC" w:eastAsia="Songti SC"/>
          <w:b w:val="0"/>
          <w:i w:val="0"/>
          <w:sz w:val="21"/>
        </w:rPr>
        <w:t>答:文献检索与引用核查需联网;撰写、检查、导出、计分均可离线进行。调用模型本身需要网络连接。</w:t>
      </w:r>
    </w:p>
    <w:p>
      <w:pPr>
        <w:spacing w:after="40" w:line="360" w:lineRule="auto"/>
      </w:pPr>
      <w:r>
        <w:rPr>
          <w:rFonts w:ascii="Songti SC" w:hAnsi="Songti SC" w:eastAsia="Songti SC"/>
          <w:b/>
          <w:i w:val="0"/>
          <w:sz w:val="21"/>
        </w:rPr>
        <w:t>问:我的数据会被上传吗?</w:t>
      </w:r>
    </w:p>
    <w:p>
      <w:pPr>
        <w:spacing w:after="160" w:line="360" w:lineRule="auto"/>
      </w:pPr>
      <w:r>
        <w:rPr>
          <w:rFonts w:ascii="Songti SC" w:hAnsi="Songti SC" w:eastAsia="Songti SC"/>
          <w:b w:val="0"/>
          <w:i w:val="0"/>
          <w:sz w:val="21"/>
        </w:rPr>
        <w:t>答:PsyClaw 不会主动读取原始数据目录。在对话中明确指定读取的文件,其内容将随请求发送至所配置的模型服务——涉及被试隐私时请审慎处理,并确认符合伦理委员会要求。</w:t>
      </w:r>
    </w:p>
    <w:p>
      <w:pPr>
        <w:spacing w:after="40" w:line="360" w:lineRule="auto"/>
      </w:pPr>
      <w:r>
        <w:rPr>
          <w:rFonts w:ascii="Songti SC" w:hAnsi="Songti SC" w:eastAsia="Songti SC"/>
          <w:b/>
          <w:i w:val="0"/>
          <w:sz w:val="21"/>
        </w:rPr>
        <w:t>问:能替代 SPSS 或 JASP 吗?</w:t>
      </w:r>
    </w:p>
    <w:p>
      <w:pPr>
        <w:spacing w:after="160" w:line="360" w:lineRule="auto"/>
      </w:pPr>
      <w:r>
        <w:rPr>
          <w:rFonts w:ascii="Songti SC" w:hAnsi="Songti SC" w:eastAsia="Songti SC"/>
          <w:b w:val="0"/>
          <w:i w:val="0"/>
          <w:sz w:val="21"/>
        </w:rPr>
        <w:t>答:定位不同。其长处在于串联完整流程并留下可复现记录;点选式软件的即时探索体验则非其所长。二者可并行使用。</w:t>
      </w:r>
    </w:p>
    <w:p>
      <w:pPr>
        <w:spacing w:after="40" w:line="360" w:lineRule="auto"/>
      </w:pPr>
      <w:r>
        <w:rPr>
          <w:rFonts w:ascii="Songti SC" w:hAnsi="Songti SC" w:eastAsia="Songti SC"/>
          <w:b/>
          <w:i w:val="0"/>
          <w:sz w:val="21"/>
        </w:rPr>
        <w:t>问:生成的稿子能直接投吗?</w:t>
      </w:r>
    </w:p>
    <w:p>
      <w:pPr>
        <w:spacing w:after="160" w:line="360" w:lineRule="auto"/>
      </w:pPr>
      <w:r>
        <w:rPr>
          <w:rFonts w:ascii="Songti SC" w:hAnsi="Songti SC" w:eastAsia="Songti SC"/>
          <w:b w:val="0"/>
          <w:i w:val="0"/>
          <w:sz w:val="21"/>
        </w:rPr>
        <w:t>答:不能。全部统计解读与文献引用均须研究者本人复核。其价值在于将易错环节转化为可核验的流程,而非代为承担责任。</w:t>
      </w:r>
    </w:p>
    <w:p>
      <w:pPr>
        <w:spacing w:after="40" w:line="360" w:lineRule="auto"/>
      </w:pPr>
      <w:r>
        <w:rPr>
          <w:rFonts w:ascii="Songti SC" w:hAnsi="Songti SC" w:eastAsia="Songti SC"/>
          <w:b/>
          <w:i w:val="0"/>
          <w:sz w:val="21"/>
        </w:rPr>
        <w:t>问:它会不会编造文献?</w:t>
      </w:r>
    </w:p>
    <w:p>
      <w:pPr>
        <w:spacing w:after="160" w:line="360" w:lineRule="auto"/>
      </w:pPr>
      <w:r>
        <w:rPr>
          <w:rFonts w:ascii="Songti SC" w:hAnsi="Songti SC" w:eastAsia="Songti SC"/>
          <w:b w:val="0"/>
          <w:i w:val="0"/>
          <w:sz w:val="21"/>
        </w:rPr>
        <w:t>答:不会。检索失败时如实告知,并给出后续可行方案。交稿前可要求其将每条参考文献送数据库逐条核验。</w:t>
      </w:r>
    </w:p>
    <w:p>
      <w:pPr>
        <w:spacing w:after="40" w:line="360" w:lineRule="auto"/>
      </w:pPr>
      <w:r>
        <w:rPr>
          <w:rFonts w:ascii="Songti SC" w:hAnsi="Songti SC" w:eastAsia="Songti SC"/>
          <w:b/>
          <w:i w:val="0"/>
          <w:sz w:val="21"/>
        </w:rPr>
        <w:t>问:换电脑了怎么办?</w:t>
      </w:r>
    </w:p>
    <w:p>
      <w:pPr>
        <w:spacing w:after="160" w:line="360" w:lineRule="auto"/>
      </w:pPr>
      <w:r>
        <w:rPr>
          <w:rFonts w:ascii="Songti SC" w:hAnsi="Songti SC" w:eastAsia="Songti SC"/>
          <w:b w:val="0"/>
          <w:i w:val="0"/>
          <w:sz w:val="21"/>
        </w:rPr>
        <w:t>答:重新安装即可。配置与量表定义随项目目录保存,拷贝项目目录至新机器即可继续使用。</w:t>
      </w:r>
    </w:p>
    <w:p>
      <w:pPr>
        <w:spacing w:after="120" w:line="360" w:lineRule="auto"/>
        <w:jc w:val="center"/>
      </w:pPr>
      <w:r>
        <w:rPr>
          <w:rFonts w:ascii="Songti SC" w:hAnsi="Songti SC" w:eastAsia="Songti SC"/>
          <w:b w:val="0"/>
          <w:i w:val="0"/>
          <w:color w:val="444444"/>
          <w:sz w:val="19"/>
        </w:rPr>
        <w:t>PsyClaw v0.20.0 · 源码与问题反馈:https://github.com/Exekiel179/psyclaw · MIT 许可</w:t>
      </w:r>
    </w:p>
    <w:sectPr w:rsidR="00FC693F" w:rsidRPr="0006063C" w:rsidSect="00034616">
      <w:footerReference w:type="default" r:id="rId9"/>
      <w:pgSz w:w="12240" w:h="15840"/>
      <w:pgMar w:top="1361" w:right="1587" w:bottom="1361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ngti SC" w:hAnsi="Songti SC" w:eastAsia="Songti SC"/>
        <w:color w:val="888888"/>
        <w:sz w:val="16"/>
      </w:rPr>
      <w:t>PsyClaw 使用白皮书 · v0.20.0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 w:eastAsia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