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0" w:line="360" w:lineRule="auto"/>
        <w:jc w:val="center"/>
      </w:pPr>
      <w:r>
        <w:rPr>
          <w:rFonts w:ascii="Arial Unicode MS" w:hAnsi="Arial Unicode MS" w:eastAsia="Arial Unicode MS" w:cs="Arial Unicode MS" w:hint="eastAsia"/>
          <w:b/>
          <w:i w:val="0"/>
          <w:sz w:val="40"/>
        </w:rPr>
        <w:t>心理学研究者的</w:t>
      </w:r>
    </w:p>
    <w:p>
      <w:pPr>
        <w:spacing w:after="280" w:line="360" w:lineRule="auto"/>
        <w:jc w:val="center"/>
      </w:pPr>
      <w:r>
        <w:rPr>
          <w:rFonts w:ascii="Arial Unicode MS" w:hAnsi="Arial Unicode MS" w:eastAsia="Arial Unicode MS" w:cs="Arial Unicode MS" w:hint="eastAsia"/>
          <w:b/>
          <w:i w:val="0"/>
          <w:sz w:val="56"/>
        </w:rPr>
        <w:t>PsyClaw 使用白皮书</w:t>
      </w:r>
    </w:p>
    <w:p>
      <w:pPr>
        <w:spacing w:after="80" w:line="360" w:lineRule="auto"/>
        <w:jc w:val="center"/>
      </w:pPr>
      <w:r>
        <w:rPr>
          <w:rFonts w:ascii="Arial Unicode MS" w:hAnsi="Arial Unicode MS" w:eastAsia="Arial Unicode MS" w:cs="Arial Unicode MS" w:hint="eastAsia"/>
          <w:b w:val="0"/>
          <w:i w:val="0"/>
          <w:sz w:val="26"/>
        </w:rPr>
        <w:t>以自然语言完成研究全流程</w:t>
      </w:r>
    </w:p>
    <w:p>
      <w:pPr>
        <w:spacing w:after="360" w:line="360" w:lineRule="auto"/>
        <w:jc w:val="center"/>
      </w:pPr>
      <w:r>
        <w:rPr>
          <w:rFonts w:ascii="Arial Unicode MS" w:hAnsi="Arial Unicode MS" w:eastAsia="Arial Unicode MS" w:cs="Arial Unicode MS" w:hint="eastAsia"/>
          <w:b w:val="0"/>
          <w:i w:val="0"/>
          <w:color w:val="444444"/>
          <w:sz w:val="24"/>
        </w:rPr>
        <w:t>—— 文献 · 统计分析 · 论文写作润色 ——</w:t>
      </w:r>
    </w:p>
    <w:p>
      <w:pPr>
        <w:spacing w:after="800" w:line="360" w:lineRule="auto"/>
        <w:jc w:val="center"/>
      </w:pPr>
      <w:r>
        <w:rPr>
          <w:rFonts w:ascii="Arial Unicode MS" w:hAnsi="Arial Unicode MS" w:eastAsia="Arial Unicode MS" w:cs="Arial Unicode MS" w:hint="eastAsia"/>
          <w:b w:val="0"/>
          <w:i w:val="0"/>
          <w:color w:val="1F4E79"/>
          <w:sz w:val="22"/>
        </w:rPr>
        <w:t>无需编程 · 无需记忆命令</w:t>
      </w:r>
    </w:p>
    <w:p>
      <w:pPr>
        <w:spacing w:after="120" w:line="360" w:lineRule="auto"/>
        <w:jc w:val="center"/>
      </w:pPr>
      <w:r>
        <w:rPr>
          <w:rFonts w:ascii="Arial Unicode MS" w:hAnsi="Arial Unicode MS" w:eastAsia="Arial Unicode MS" w:cs="Arial Unicode MS" w:hint="eastAsia"/>
          <w:b w:val="0"/>
          <w:i w:val="0"/>
          <w:color w:val="444444"/>
          <w:sz w:val="22"/>
        </w:rPr>
        <w:t>2026 年 8 月 · v0.23.0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36"/>
        </w:rPr>
        <w:t>关于本白皮书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本白皮书面向心理学及相关行为科学领域的研究者——研究生、博士后、青年教师与资深 PI——介绍如何用 PsyClaw 完成文献调研、统计分析与论文写作润色。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阅读本白皮书不需要编程基础,也不需要记住任何命令。安装完成后,全部交互均以自然语言进行:说明需求,由其执行;涉及写入文件、下载全文等操作时会先行征求同意。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我们假定你熟悉常见的心理学统计方法(t 检验、方差分析、回归、中介分析),日常可能使用 SPSS、JASP 或 R。分析脚本由 PsyClaw 生成并交给成熟统计库运行,你不必自己写。</w:t>
      </w: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如何使用本白皮书</w:t>
      </w:r>
    </w:p>
    <w:p>
      <w:pPr>
        <w:pStyle w:val="ListBullet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第 1 章:安装与两个公开入口。首次使用前请完整阅读。</w:t>
      </w:r>
    </w:p>
    <w:p>
      <w:pPr>
        <w:pStyle w:val="ListBullet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第 2–4 章:文献 → 分析委托 → 写作与质量检查,三个阶段各成一章,可按需查阅。</w:t>
      </w:r>
    </w:p>
    <w:p>
      <w:pPr>
        <w:pStyle w:val="ListBullet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第 5 章:使用建议、能力边界与人工责任。</w:t>
      </w:r>
    </w:p>
    <w:p>
      <w:pPr>
        <w:pStyle w:val="ListBullet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第 6 章:研究流程、System Skill Pack、宿主 Skill/MCP 与资料编译。</w:t>
      </w:r>
    </w:p>
    <w:p>
      <w:pPr>
        <w:spacing w:after="20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文中三类信息框:蓝色为对话示例(可直接照此表述),绿色为实用建议,黄色为风险提示。灰底为需在终端输入的命令——除安装配置外,正文中几乎不再涉及。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36"/>
        </w:rPr>
        <w:t>PsyClaw 能做什么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PsyClaw 承担研究流程中繁琐、易错而又必须准确的环节,使研究者得以专注于判断与思考。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75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你想做的事</w:t>
            </w:r>
          </w:p>
        </w:tc>
        <w:tc>
          <w:tcPr>
            <w:tcW w:type="dxa" w:w="5443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你只需要说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找某个主题近几年的文献</w:t>
            </w:r>
          </w:p>
        </w:tc>
        <w:tc>
          <w:tcPr>
            <w:tcW w:type="dxa" w:w="544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帮我找工作倦怠与离职意向近三年的研究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把找到的文章下载下来</w:t>
            </w:r>
          </w:p>
        </w:tc>
        <w:tc>
          <w:tcPr>
            <w:tcW w:type="dxa" w:w="544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把这几篇下载下来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确认参考文献没有编造</w:t>
            </w:r>
          </w:p>
        </w:tc>
        <w:tc>
          <w:tcPr>
            <w:tcW w:type="dxa" w:w="544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帮我核一下这稿子里的引用是不是都真实存在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做一个中介效应分析</w:t>
            </w:r>
          </w:p>
        </w:tc>
        <w:tc>
          <w:tcPr>
            <w:tcW w:type="dxa" w:w="544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帮我做个中介分析,自变量是 X,因变量是 Y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检查稿件是否符合规范</w:t>
            </w:r>
          </w:p>
        </w:tc>
        <w:tc>
          <w:tcPr>
            <w:tcW w:type="dxa" w:w="544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帮我按 APA 规范检查一下这份稿子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模拟审稿意见</w:t>
            </w:r>
          </w:p>
        </w:tc>
        <w:tc>
          <w:tcPr>
            <w:tcW w:type="dxa" w:w="544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帮我审一下这篇,像 Nature 审稿人那样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导出成 Word 投稿</w:t>
            </w:r>
          </w:p>
        </w:tc>
        <w:tc>
          <w:tcPr>
            <w:tcW w:type="dxa" w:w="544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导出成心理学报格式的 Word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上表右列即为实际输入内容。无需参数与命令;表述不明确时,系统会主动追问。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E6B3A"/>
                <w:sz w:val="20"/>
              </w:rPr>
              <w:t>三项基本保证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· 不编造文献。检索失败时如实告知,绝不以记忆内容拼凑书目。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· 不编造数据。脚本未实际运行前,不提供含具体数值的「示例结果」。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· 不擅自变更文件。写入、下载、修改文库前均先征求同意。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36"/>
        </w:rPr>
        <w:t>目录</w:t>
      </w:r>
    </w:p>
    <w:p>
      <w:pPr>
        <w:spacing w:after="80" w:line="360" w:lineRule="auto"/>
        <w:ind w:left="340"/>
      </w:pPr>
      <w:r>
        <w:rPr>
          <w:rFonts w:ascii="Arial Unicode MS" w:hAnsi="Arial Unicode MS" w:eastAsia="Arial Unicode MS" w:cs="Arial Unicode MS" w:hint="eastAsia"/>
          <w:b w:val="0"/>
          <w:i w:val="0"/>
          <w:sz w:val="22"/>
        </w:rPr>
        <w:t>关于本白皮书</w:t>
      </w:r>
    </w:p>
    <w:p>
      <w:pPr>
        <w:spacing w:after="80" w:line="360" w:lineRule="auto"/>
        <w:ind w:left="340"/>
      </w:pPr>
      <w:r>
        <w:rPr>
          <w:rFonts w:ascii="Arial Unicode MS" w:hAnsi="Arial Unicode MS" w:eastAsia="Arial Unicode MS" w:cs="Arial Unicode MS" w:hint="eastAsia"/>
          <w:b w:val="0"/>
          <w:i w:val="0"/>
          <w:sz w:val="22"/>
        </w:rPr>
        <w:t>PsyClaw 能做什么</w:t>
      </w:r>
    </w:p>
    <w:p>
      <w:pPr>
        <w:spacing w:after="80" w:line="360" w:lineRule="auto"/>
        <w:ind w:left="340"/>
      </w:pPr>
      <w:r>
        <w:rPr>
          <w:rFonts w:ascii="Arial Unicode MS" w:hAnsi="Arial Unicode MS" w:eastAsia="Arial Unicode MS" w:cs="Arial Unicode MS" w:hint="eastAsia"/>
          <w:b w:val="0"/>
          <w:i w:val="0"/>
          <w:sz w:val="22"/>
        </w:rPr>
        <w:t>第一章　安装与配置</w:t>
      </w:r>
    </w:p>
    <w:p>
      <w:pPr>
        <w:spacing w:after="80" w:line="360" w:lineRule="auto"/>
        <w:ind w:left="340"/>
      </w:pPr>
      <w:r>
        <w:rPr>
          <w:rFonts w:ascii="Arial Unicode MS" w:hAnsi="Arial Unicode MS" w:eastAsia="Arial Unicode MS" w:cs="Arial Unicode MS" w:hint="eastAsia"/>
          <w:b w:val="0"/>
          <w:i w:val="0"/>
          <w:sz w:val="22"/>
        </w:rPr>
        <w:t>第二章　文献检索与全文获取</w:t>
      </w:r>
    </w:p>
    <w:p>
      <w:pPr>
        <w:spacing w:after="80" w:line="360" w:lineRule="auto"/>
        <w:ind w:left="340"/>
      </w:pPr>
      <w:r>
        <w:rPr>
          <w:rFonts w:ascii="Arial Unicode MS" w:hAnsi="Arial Unicode MS" w:eastAsia="Arial Unicode MS" w:cs="Arial Unicode MS" w:hint="eastAsia"/>
          <w:b w:val="0"/>
          <w:i w:val="0"/>
          <w:sz w:val="22"/>
        </w:rPr>
        <w:t>第三章　统计分析</w:t>
      </w:r>
    </w:p>
    <w:p>
      <w:pPr>
        <w:spacing w:after="80" w:line="360" w:lineRule="auto"/>
        <w:ind w:left="340"/>
      </w:pPr>
      <w:r>
        <w:rPr>
          <w:rFonts w:ascii="Arial Unicode MS" w:hAnsi="Arial Unicode MS" w:eastAsia="Arial Unicode MS" w:cs="Arial Unicode MS" w:hint="eastAsia"/>
          <w:b w:val="0"/>
          <w:i w:val="0"/>
          <w:sz w:val="22"/>
        </w:rPr>
        <w:t>第四章　论文写作与润色</w:t>
      </w:r>
    </w:p>
    <w:p>
      <w:pPr>
        <w:spacing w:after="80" w:line="360" w:lineRule="auto"/>
        <w:ind w:left="340"/>
      </w:pPr>
      <w:r>
        <w:rPr>
          <w:rFonts w:ascii="Arial Unicode MS" w:hAnsi="Arial Unicode MS" w:eastAsia="Arial Unicode MS" w:cs="Arial Unicode MS" w:hint="eastAsia"/>
          <w:b w:val="0"/>
          <w:i w:val="0"/>
          <w:sz w:val="22"/>
        </w:rPr>
        <w:t>第五章　使用建议与能力边界</w:t>
      </w:r>
    </w:p>
    <w:p>
      <w:pPr>
        <w:spacing w:after="80" w:line="360" w:lineRule="auto"/>
        <w:ind w:left="340"/>
      </w:pPr>
      <w:r>
        <w:rPr>
          <w:rFonts w:ascii="Arial Unicode MS" w:hAnsi="Arial Unicode MS" w:eastAsia="Arial Unicode MS" w:cs="Arial Unicode MS" w:hint="eastAsia"/>
          <w:b w:val="0"/>
          <w:i w:val="0"/>
          <w:sz w:val="22"/>
        </w:rPr>
        <w:t>第六章　流程编排与能力扩展</w:t>
      </w:r>
    </w:p>
    <w:p>
      <w:pPr>
        <w:spacing w:after="80" w:line="360" w:lineRule="auto"/>
        <w:ind w:left="340"/>
      </w:pPr>
      <w:r>
        <w:rPr>
          <w:rFonts w:ascii="Arial Unicode MS" w:hAnsi="Arial Unicode MS" w:eastAsia="Arial Unicode MS" w:cs="Arial Unicode MS" w:hint="eastAsia"/>
          <w:b w:val="0"/>
          <w:i w:val="0"/>
          <w:sz w:val="22"/>
        </w:rPr>
        <w:t>附录 A　常用表述速查</w:t>
      </w:r>
    </w:p>
    <w:p>
      <w:pPr>
        <w:spacing w:after="80" w:line="360" w:lineRule="auto"/>
        <w:ind w:left="340"/>
      </w:pPr>
      <w:r>
        <w:rPr>
          <w:rFonts w:ascii="Arial Unicode MS" w:hAnsi="Arial Unicode MS" w:eastAsia="Arial Unicode MS" w:cs="Arial Unicode MS" w:hint="eastAsia"/>
          <w:b w:val="0"/>
          <w:i w:val="0"/>
          <w:sz w:val="22"/>
        </w:rPr>
        <w:t>附录 B　自定义量表配置</w:t>
      </w:r>
    </w:p>
    <w:p>
      <w:pPr>
        <w:spacing w:after="80" w:line="360" w:lineRule="auto"/>
        <w:ind w:left="340"/>
      </w:pPr>
      <w:r>
        <w:rPr>
          <w:rFonts w:ascii="Arial Unicode MS" w:hAnsi="Arial Unicode MS" w:eastAsia="Arial Unicode MS" w:cs="Arial Unicode MS" w:hint="eastAsia"/>
          <w:b w:val="0"/>
          <w:i w:val="0"/>
          <w:sz w:val="22"/>
        </w:rPr>
        <w:t>附录 C　常见问题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36"/>
        </w:rPr>
        <w:t>第一章　安装与配置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本章是全书唯一需要在终端输入命令的部分。配置完成后,后续交互均以自然语言进行。</w:t>
      </w: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1.1　安装:国际网络环境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uv tool install --python 3.12 \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"git+https://github.com/Exekiel179/psyclaw.git@v0.23.0"</w:t>
            </w:r>
          </w:p>
        </w:tc>
      </w:tr>
    </w:tbl>
    <w:p>
      <w:pPr>
        <w:spacing w:after="80"/>
      </w:pPr>
    </w:p>
    <w:p>
      <w:pPr>
        <w:spacing w:after="4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若提示未找到 uv,请先安装: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curl -LsSf https://astral.sh/uv/install.sh | sh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1.2　安装:国内网络环境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国内网络环境下直接执行上述命令通常会失败。建议使用一键脚本,该脚本会自动检测网络状况并切换至国内镜像: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curl -fsSL https://exekiel179.github.io/psyclaw/install.sh | sh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如需强制使用国内镜像,可在命令前加 PSYCLAW_CN=1。Windows 环境请以 PowerShell 执行同名的 install.ps1。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BF3E2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8A5A00"/>
                <w:sz w:val="20"/>
              </w:rPr>
              <w:t>风险提示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一键脚本在 GitHub 不可达时会改用第三方镜像 gitclone.com。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该镜像非官方渠道,代码完整性不作保证;能连 GitHub 时请优先用官方地址。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1.3　分发包:批量部署与无网环境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需为课题组批量部署,或目标机器无法联网时,使用分发包: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742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文件</w:t>
            </w:r>
          </w:p>
        </w:tc>
        <w:tc>
          <w:tcPr>
            <w:tcW w:type="dxa" w:w="4876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适用场景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psyclaw-0.23.0-py3-none-any.whl</w:t>
            </w:r>
          </w:p>
        </w:tc>
        <w:tc>
          <w:tcPr>
            <w:tcW w:type="dxa" w:w="4876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常规离线安装(装时仍需拉一个依赖)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psyclaw-offline-0.23.0.tar.gz</w:t>
            </w:r>
          </w:p>
        </w:tc>
        <w:tc>
          <w:tcPr>
            <w:tcW w:type="dxa" w:w="4876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完全无网:依赖全部打包,解压即装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全离线整包使用方式:拷贝至目标机器,解压后按平台执行其中的装机脚本——macOS 与 Linux 运行 install.sh(sh install.sh),Windows 则右键 install.ps1 选择「使用 PowerShell 运行」。两者仅需目标机器已具备 Python 3.11 及以上版本;整包为纯 Python 包,同一份文件在两类系统通用。</w:t>
      </w: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1.4　首次配置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setup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该命令引导完成功能板块选择、模型服务(provider)与密钥配置。配置一次即可,后续所有项目通用。</w:t>
      </w: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1.5　两个公开入口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日常使用只需记住两个入口：一起做用 chat，交给它做用 run。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608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入口</w:t>
            </w:r>
          </w:p>
        </w:tc>
        <w:tc>
          <w:tcPr>
            <w:tcW w:type="dxa" w:w="6009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什么时候用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psyclaw chat(或直接 psyclaw)</w:t>
            </w:r>
          </w:p>
        </w:tc>
        <w:tc>
          <w:tcPr>
            <w:tcW w:type="dxa" w:w="6009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一起做：自然语言讨论、澄清、读取材料和逐步决策。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psyclaw run &lt;类型&gt;</w:t>
            </w:r>
          </w:p>
        </w:tc>
        <w:tc>
          <w:tcPr>
            <w:tcW w:type="dxa" w:w="6009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交给它做：按步骤执行 literature、meta、analysis 或 qualitative 流程。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psyclaw run</w:t>
            </w:r>
          </w:p>
        </w:tc>
        <w:tc>
          <w:tcPr>
            <w:tcW w:type="dxa" w:w="6009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根据项目状态自动继续下一步；遇到 gate 或人工决策会暂停。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psyclaw status</w:t>
            </w:r>
          </w:p>
        </w:tc>
        <w:tc>
          <w:tcPr>
            <w:tcW w:type="dxa" w:w="6009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查看目标、待办、最近产出和下一步建议。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E6B3A"/>
                <w:sz w:val="20"/>
              </w:rPr>
              <w:t>实用建议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建议每项研究单独使用 psyclaw new 建立目录。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系统将独立记录该研究的目标与进度,不会混入其他课题的上下文。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1.6　使用须知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第一,表述不必精确。信息不足时系统会主动询问,而非擅自假设。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第二,涉及变更的操作均先征求同意。写入文件、下载全文、写入 Zotero 文库、打开浏览器等操作均会事先询问;同类操作经一次同意后,本次会话内可自动放行。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第三,产物存放位置固定:成稿位于 outputs/,图表位于 figures/,脚本位于 scripts/,笔记位于 notes/。原始数据目录 data/ 仅读取,不写入。</w:t>
      </w: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1.7　权限与审批档位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PsyClaw 在两个维度上控制它能做什么:操作审批与文件访问。两者均可随时在对话中切换,切换后立即生效。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28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档位</w:t>
            </w:r>
          </w:p>
        </w:tc>
        <w:tc>
          <w:tcPr>
            <w:tcW w:type="dxa" w:w="2041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切换方式</w:t>
            </w:r>
          </w:p>
        </w:tc>
        <w:tc>
          <w:tcPr>
            <w:tcW w:type="dxa" w:w="4535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含义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审批 ask(默认)</w:t>
            </w:r>
          </w:p>
        </w:tc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/approval ask</w:t>
            </w:r>
          </w:p>
        </w:tc>
        <w:tc>
          <w:tcPr>
            <w:tcW w:type="dxa" w:w="4535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命令执行、文件覆盖、工具副作用逐条征求同意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审批 auto</w:t>
            </w:r>
          </w:p>
        </w:tc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/approval auto 或 /yolo</w:t>
            </w:r>
          </w:p>
        </w:tc>
        <w:tc>
          <w:tcPr>
            <w:tcW w:type="dxa" w:w="4535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上述操作自动放行;仅命中红线的危险命令仍会询问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访问 open(默认)</w:t>
            </w:r>
          </w:p>
        </w:tc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/access open</w:t>
            </w:r>
          </w:p>
        </w:tc>
        <w:tc>
          <w:tcPr>
            <w:tcW w:type="dxa" w:w="4535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允许系统按需读取项目内文件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访问 safe</w:t>
            </w:r>
          </w:p>
        </w:tc>
        <w:tc>
          <w:tcPr>
            <w:tcW w:type="dxa" w:w="2041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/access safe</w:t>
            </w:r>
          </w:p>
        </w:tc>
        <w:tc>
          <w:tcPr>
            <w:tcW w:type="dxa" w:w="4535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一切读取须由研究者以 @ 显式引用,系统不自行读取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红线始终有效:删除类命令、强制推送、数据库删表等危险操作,无论处于何种档位都会要求确认。原始数据目录 data/ 在任何档位下均只读。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E6B3A"/>
                <w:sz w:val="20"/>
              </w:rPr>
              <w:t>档位选择建议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初次使用或处理重要数据时,保持默认的 ask + open。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批量重复性工作(如逐篇下载、批量导出)可临时切到 auto 提高效率,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完成后切回。涉及未公开数据的分析,建议使用 safe 访问档位。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36"/>
        </w:rPr>
        <w:t>第二章　文献检索与全文获取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文献是 AI 辅助研究中最易出现学术事故的环节。真正的风险不在于检索失败,而在于获得一份格式规范却并不存在的书目。本章所述流程,每一步均可核验。</w:t>
      </w: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2.1　文献检索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「帮我找工作倦怠与离职意向近三年的研究,英文的,15 篇左右」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「再找找中文文献,心理学报和心理科学上的」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「这些太老了,只要 2024 年之后的」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系统将同时检索多个学术数据库(OpenAlex、Crossref、EuropePMC 等),去重后一并给出题录、年份、被引次数与 DOI。「近三年」以实际当前年份计算。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撰写综述时,沿引用网络检索更为有效: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「这篇很关键,帮我找找引用了它的后续研究」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「顺着这篇的参考文献往回找源头」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E6B3A"/>
                <w:sz w:val="20"/>
              </w:rPr>
              <w:t>实用建议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关键词检索易遗漏措辞不同的重要文献;以公认的经典文献为起点前后追溯,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是更稳妥的综述路径。研究者只需指定种子文献。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2.2　全文获取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「把上面这几篇下载下来」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「第 3 篇和第 7 篇下载一下」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开放获取文献将直接下载至 outputs/pdfs 目录。遇付费墙时,系统不会就此中止,而是引导使用研究者本人的机构权限获取:</w:t>
      </w:r>
    </w:p>
    <w:p>
      <w:pPr>
        <w:pStyle w:val="ListNumber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系统打开所在机构的访问入口(校园网代理或 LibKey);</w:t>
      </w:r>
    </w:p>
    <w:p>
      <w:pPr>
        <w:pStyle w:val="ListNumber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在浏览器中以机构账号登录——该步骤须由研究者本人完成,PsyClaw 不接触账号与密码;</w:t>
      </w:r>
    </w:p>
    <w:p>
      <w:pPr>
        <w:pStyle w:val="ListNumber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点击页面上的下载按钮,保存至默认下载目录即可,无需另存至指定位置,亦无需重命名;</w:t>
      </w:r>
    </w:p>
    <w:p>
      <w:pPr>
        <w:pStyle w:val="ListNumber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返回对话说明已下载完成,系统将自动将文件收入项目,并按「作者_年份_题名」重新命名。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若已安装配套浏览器扩展,第 3 步亦可省去,系统将直接取回文件。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BF3E2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8A5A00"/>
                <w:sz w:val="20"/>
              </w:rPr>
              <w:t>关于付费墙文献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PsyClaw 不绕过任何付费墙,所使用的始终是研究者本人已有的机构权限。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若所在单位未订阅该刊,系统将如实告知无法获取,不作其他尝试。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使用 Zotero 者,可先在本人文库中检索: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「先在我的 Zotero 里看看有没有这几篇」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「把这篇加到我的 Zotero 文库」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「这篇我库里有全文,读一下它的方法部分」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2.3　引用真实性核查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该步骤应在交稿前执行: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「帮我核一下这份稿子里的参考文献,是不是每条都真实存在」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系统将稿件中每条参考文献送至学术数据库逐条查证,并严格区分以下三种结果: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814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结果</w:t>
            </w:r>
          </w:p>
        </w:tc>
        <w:tc>
          <w:tcPr>
            <w:tcW w:type="dxa" w:w="6463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含义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查到了</w:t>
            </w:r>
          </w:p>
        </w:tc>
        <w:tc>
          <w:tcPr>
            <w:tcW w:type="dxa" w:w="646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该文献真实存在,作者与年份都对得上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查无此文</w:t>
            </w:r>
          </w:p>
        </w:tc>
        <w:tc>
          <w:tcPr>
            <w:tcW w:type="dxa" w:w="646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疑似杜撰或著录有误,将明确标出待处理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无法查证</w:t>
            </w:r>
          </w:p>
        </w:tc>
        <w:tc>
          <w:tcPr>
            <w:tcW w:type="dxa" w:w="646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网络不通,或该类文献本就不被数据库收录(如中文专著、内部报告)——只提示,不当作杜撰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该步骤的必要性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格式规整、卷期页码齐全、正文引用与文末列表完全一致的虚构条目,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仅凭人工查阅与格式检查无法识别,须经数据库实际查证。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「查无此文」与「无法查证」为两类不同结果,后者不会误判未被收录的中文文献。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36"/>
        </w:rPr>
        <w:t>第三章　统计分析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研究者无需编写代码。说明研究问题、变量与数据位置后,系统将生成分析脚本、交由成熟统计库运行,并解读结果。脚本保存于 scripts/ 目录,可供他人复现验证。</w:t>
      </w:r>
    </w:p>
    <w:p>
      <w:pPr>
        <w:spacing w:after="4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首次进行统计分析前,需安装统计库(仅需一次):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pip install "psyclaw[stats]"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3.1　分析前的准备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分析结果的可信度,很大程度上取决于分析计划确定于接触数据之前还是之后。因此第一步并非运行数据,而是记录分析计划。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「我要研究工作倦怠在工作满意度和离职意向之间的中介作用,帮我把研究准备清单过一遍」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「这个假设是确证性的,帮我先声明下来」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「我打算用中介分析,样本量需要多少?」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系统将逐项询问:结局如何定义、自变量如何操作化、排除标准为何、拟采用何种检验。完成后该清单将保存下来,供撰写方法部分、进行预注册与稿件检查时使用。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E6B3A"/>
                <w:sz w:val="20"/>
              </w:rPr>
              <w:t>实用建议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「先声明,后分析」并非形式要求。已声明的假设属确证性,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未经声明所得结果属探索性——二者在论文中的表述方式与证据分量截然不同。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PsyClaw 将守住这一界线,避免探索性结果被表述为确证性发现。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3.2　数据清理与量表计分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「数据在 data/clean/survey.csv,帮我看看这份数据什么情况」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「帮我按 MBI 的计分规则算总分,第 13、14 题是反向题」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「有没有明显乱答的被试?比如一直选同一个选项的」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系统可执行规则化的反向题翻转、子量表求和、缺失值处理,并识别可疑作答模式。量表计分规则由研究者提供一次(见附录 B),此后持续可用；信度和其他统计量会生成委托成熟统计库的可复现脚本或交给 MCP 后端执行。</w:t>
      </w: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3.3　执行分析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「帮我做个中介分析,自变量工作满意度,中介变量倦怠,因变量离职意向」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「两组比较一下,看看性别有没有差异」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「帮我看看这些数据适不适合做回归,前提假设满足吗」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「把这个分析写成脚本,我要能自己重跑」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系统将生成脚本并运行,随后以日常语言解读结果:先说明结果的实际含义,再给出统计数值。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统计报告规范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· 必报效应量与 95% 置信区间,不止于 p 值;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· p 值大于 .05 即如实报告不显著,不使用「边缘显著」「显著趋势」等表述;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· 相关不等于因果,涉及因果的表述附带识别假设;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· 脚本未实际运行前,不提供含具体数值的「示例结果」。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3.4　完整流程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如需系统串联执行完整分析流程: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「帮我把这份数据的分析从头走一遍:先描述,再主分析,最后做稳健性检验」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「我要做元分析,效应量表在这个文件里」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「这是访谈转录稿,帮我做主题分析」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36"/>
        </w:rPr>
        <w:t>第四章　论文写作与润色</w:t>
      </w: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4.1　撰写初稿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「根据上面的分析结果,帮我写方法部分」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「结果部分写一下,按 APA 格式报告」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「帮我把讨论部分的第二段改得紧凑一些」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「这段话太啰嗦了,精简到 150 字以内」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撰写过程遵循两条规则:统计数值仅使用实际运行所得结果,缺失处以「(待回填)」占位并在文末列出清单;引用仅使用检索所得真实文献,缺失处标注「(待补引)」,检索到后再行填补,不以看似合理的条目填充。</w:t>
      </w: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4.2　投稿前检查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「帮我按 APA 规范检查一下这份稿子」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「对照 JARS 清单看看还缺什么」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「帮我审一下这篇,像 Nature 审稿人那样,尽量挑刺」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检查将一次性汇总以下结果:JARS 清单是否存在遗漏、参考文献是否均真实存在、格式是否符合目标期刊要求、结论是否具备相应的分析支撑。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E6B3A"/>
                <w:sz w:val="20"/>
              </w:rPr>
              <w:t>内置审稿流程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审稿模拟基于从 1287 篇 Nature 审稿报告中提炼的流程: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分 12 个维度逐一审查,并给出可执行的修改建议。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投稿前先行自查,可显著降低因基础问题被拒的风险。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4.3　图表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「帮我画一张中介模型的路径图」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「把这三组的均值画成柱状图,APA 风格」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「这张图的纵轴是不是截断了?看着有点夸大」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图表保存至 figures/ 目录,中文标签正常显示。系统亦会提示截断坐标轴等易造成误导的呈现方式。</w:t>
      </w: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4.4　导出与投稿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「导出成 Word,APA7 格式」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「按心理学报的格式导出」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「这篇准备投心理科学,帮我看看格式要求对不对得上」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导出的 Word 文件版式确定:字体、行距、三级标题、参考文献悬挂缩进与页码位置均按目标期刊要求排布,图片真实嵌入。当前支持 APA7、心理学报、心理科学三种格式。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36"/>
        </w:rPr>
        <w:t>第五章　使用建议与能力边界</w:t>
      </w: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5.1　使用建议</w:t>
      </w:r>
    </w:p>
    <w:p>
      <w:pPr>
        <w:pStyle w:val="ListBullet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每项课题使用 psyclaw new 单独建立目录,进度与目标相互隔离。</w:t>
      </w:r>
    </w:p>
    <w:p>
      <w:pPr>
        <w:pStyle w:val="ListBullet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开始时先说明研究目标,系统将予以记录,后续建议均围绕该目标给出。</w:t>
      </w:r>
    </w:p>
    <w:p>
      <w:pPr>
        <w:pStyle w:val="ListBullet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过程中可询问当前进展,系统将汇报进度并给出后续建议。</w:t>
      </w:r>
    </w:p>
    <w:p>
      <w:pPr>
        <w:pStyle w:val="ListBullet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对系统所做变更存疑时,可直接询问其改动了哪些文件。</w:t>
      </w:r>
    </w:p>
    <w:p>
      <w:pPr>
        <w:pStyle w:val="ListBullet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若系统声称无法完成某项操作,而该功能理应存在,通常是未匹配到对应能力;更换表述重新提出即可。</w:t>
      </w: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5.2　能力边界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以下能力边界请在使用前知悉:</w:t>
      </w:r>
    </w:p>
    <w:p>
      <w:pPr>
        <w:pStyle w:val="ListNumber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不代为构思研究问题。系统可协助厘清表述、指出逻辑漏洞,但选题仍由研究者决定。</w:t>
      </w:r>
    </w:p>
    <w:p>
      <w:pPr>
        <w:pStyle w:val="ListNumber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不内置量表库。常用量表的条目与计分规则需由研究者提供一次(见附录 B),此后持续可用。</w:t>
      </w:r>
    </w:p>
    <w:p>
      <w:pPr>
        <w:pStyle w:val="ListNumber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无法获取所在单位未订阅的文献。系统使用的是研究者本人的机构权限,权限不足时不作其他尝试。</w:t>
      </w:r>
    </w:p>
    <w:p>
      <w:pPr>
        <w:pStyle w:val="ListNumber"/>
        <w:spacing w:after="60" w:line="336" w:lineRule="auto"/>
      </w:pPr>
      <w:r>
        <w:rPr>
          <w:rFonts w:ascii="Arial Unicode MS" w:hAnsi="Arial Unicode MS" w:eastAsia="Arial Unicode MS" w:cs="Arial Unicode MS" w:hint="eastAsia"/>
          <w:sz w:val="21"/>
        </w:rPr>
        <w:t>不承担学术责任。全部统计解读与文献引用最终均须研究者本人复核——论文的责任作者是研究者。</w:t>
      </w: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5.3　风险提示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BF3E2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8A5A00"/>
                <w:sz w:val="20"/>
              </w:rPr>
              <w:t>务必留意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· 关键引用须阅读原文。查证仅能确认文献真实存在,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 xml:space="preserve">  不能确认其支持所提出的论点;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· 涉及被试隐私的数据,发送至模型前须确认符合所在伦理委员会要求;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· 原始数据须自行备份。PsyClaw 不写入 data/ 目录,但备份责任在研究者;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· AI 生成的全部内容,发表后署名的是研究者本人。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5.4　问题排查</w:t>
      </w:r>
    </w:p>
    <w:p>
      <w:pPr>
        <w:spacing w:after="4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可在对话中直接说明问题,例如某步骤报错或结果异常,系统通常可自行定位。若属环境问题,在终端执行: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doctor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仍无法解决时,请将当时的原始输出提交至项目页面:https://github.com/Exekiel179/psyclaw/issues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36"/>
        </w:rPr>
        <w:t>第六章　流程编排与能力扩展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前几章介绍的是单步操作。当研究进入需要多步骤串联的阶段时,可使用流程编排；当内置能力不足时，可通过 System Skill Pack、既有宿主 Skill与 MCP 扩展。</w:t>
      </w: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6.1　四类研究流程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流程会自动串联「设计 → 执行 → 产出 → 评审」各环节,并在每个环节留下可复现的记录。可在对话中直接说明,亦可在终端指定流程类型。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74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流程</w:t>
            </w:r>
          </w:p>
        </w:tc>
        <w:tc>
          <w:tcPr>
            <w:tcW w:type="dxa" w:w="1928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适用研究类型</w:t>
            </w:r>
          </w:p>
        </w:tc>
        <w:tc>
          <w:tcPr>
            <w:tcW w:type="dxa" w:w="5102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主要环节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analysis</w:t>
            </w:r>
          </w:p>
        </w:tc>
        <w:tc>
          <w:tcPr>
            <w:tcW w:type="dxa" w:w="192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实证数据分析</w:t>
            </w:r>
          </w:p>
        </w:tc>
        <w:tc>
          <w:tcPr>
            <w:tcW w:type="dxa" w:w="5102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数据画像 → 设计核对 → 推荐分析并生成脚本 → 结果评审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meta</w:t>
            </w:r>
          </w:p>
        </w:tc>
        <w:tc>
          <w:tcPr>
            <w:tcW w:type="dxa" w:w="192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元分析</w:t>
            </w:r>
          </w:p>
        </w:tc>
        <w:tc>
          <w:tcPr>
            <w:tcW w:type="dxa" w:w="5102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效应量表校验 → 生成可复现脚本 → 撰写 → 评审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literature</w:t>
            </w:r>
          </w:p>
        </w:tc>
        <w:tc>
          <w:tcPr>
            <w:tcW w:type="dxa" w:w="192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文献综述</w:t>
            </w:r>
          </w:p>
        </w:tc>
        <w:tc>
          <w:tcPr>
            <w:tcW w:type="dxa" w:w="5102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研究准备 → 检索 → PRISMA 筛选 → 综述合成 → 评审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qualitative</w:t>
            </w:r>
          </w:p>
        </w:tc>
        <w:tc>
          <w:tcPr>
            <w:tcW w:type="dxa" w:w="192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质性研究</w:t>
            </w:r>
          </w:p>
        </w:tc>
        <w:tc>
          <w:tcPr>
            <w:tcW w:type="dxa" w:w="5102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载入转录稿 → 设计 → 主题分析 → COREQ 报告 → 评审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「帮我把这份数据的实证分析流程完整走一遍,数据在 data/clean/survey.csv」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「我要做一个关于正念干预的元分析,效应量表已经整理好了」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「帮我做工作倦怠这个主题的文献综述,要按 PRISMA 流程」</w:t>
            </w:r>
          </w:p>
        </w:tc>
      </w:tr>
    </w:tbl>
    <w:p>
      <w:pPr>
        <w:spacing w:after="80"/>
      </w:pPr>
    </w:p>
    <w:p>
      <w:pPr>
        <w:spacing w:after="4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对应的终端形式(需要精确控制时使用):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run analysis data/clean/survey.csv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>psyclaw run literature --topic 工作倦怠与离职意向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>psyclaw run qualitative data/transcripts/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三个常用选项:--confirm-each 在每步完成后暂停确认;--resume 从上次中断处继续;--exploratory 允许跳过未完成的前置检查,产出将被明确标注为探索性。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关于自动推进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除上述四类流程外,还可让系统根据项目当前状态自主决定下一步: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在对话中说明「按现在的进度继续推进」即可。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强制性检查与不可逆决策仍会暂停并征求同意,不会一路跑到底。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6.2　Skill：按领域加载方法学流程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Skill 是 Agent 可检索的结构化流程说明。v0.23.0 将“发现、安装、启用”分开：core 随包启用；其他领域包默认只显示为可用，安装或显式启用后才会进入默认检索。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721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System Skill Pack</w:t>
            </w:r>
          </w:p>
        </w:tc>
        <w:tc>
          <w:tcPr>
            <w:tcW w:type="dxa" w:w="5896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用途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core</w:t>
            </w:r>
          </w:p>
        </w:tc>
        <w:tc>
          <w:tcPr>
            <w:tcW w:type="dxa" w:w="5896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研究工作流路由与学术质量检查；随包安装且锁定启用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research-design</w:t>
            </w:r>
          </w:p>
        </w:tc>
        <w:tc>
          <w:tcPr>
            <w:tcW w:type="dxa" w:w="5896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分析规划、混淆控制与样本量设计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literature</w:t>
            </w:r>
          </w:p>
        </w:tc>
        <w:tc>
          <w:tcPr>
            <w:tcW w:type="dxa" w:w="5896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真实检索、PRISMA 筛选与证据综合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quantitative</w:t>
            </w:r>
          </w:p>
        </w:tc>
        <w:tc>
          <w:tcPr>
            <w:tcW w:type="dxa" w:w="5896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统计函数路由与可复现分析规划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writing-review</w:t>
            </w:r>
          </w:p>
        </w:tc>
        <w:tc>
          <w:tcPr>
            <w:tcW w:type="dxa" w:w="5896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论文质量检查、同行评审与回复信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agent-learning</w:t>
            </w:r>
          </w:p>
        </w:tc>
        <w:tc>
          <w:tcPr>
            <w:tcW w:type="dxa" w:w="5896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从资料与轨迹蒸馏可复用 Skill</w:t>
            </w:r>
          </w:p>
        </w:tc>
      </w:tr>
    </w:tbl>
    <w:p>
      <w:pPr>
        <w:spacing w:after="80"/>
      </w:pPr>
    </w:p>
    <w:p>
      <w:pPr>
        <w:spacing w:after="4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查看、安装或更新领域包: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skills --packs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>psyclaw skills --pack-install research-design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>psyclaw skills --pack-update writing-review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系统也会只读发现 Claude Code、Codex、cc-switch 和插件提供的 Skill。同名副本不会静默择一，可在 Registry 中审计来源和重复项。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BF3E2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8A5A00"/>
                <w:sz w:val="20"/>
              </w:rPr>
              <w:t>安全提示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非 core Skill 必须安装领域包或显式启用，发现不等于已验证。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第三方 Skill 会影响 Agent 的执行流程，请确认来源可信并审阅其权限需求。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带来源的 Claim-Evidence 验证通过前，资料蒸馏产生的 Skill 只能处于候选状态。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6.3　MCP：接入外部统计软件与服务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MCP(Model Context Protocol)用于把外部工具接入对话。配置完成后,这些工具与内置能力一样可被直接调用。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948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MCP 服务</w:t>
            </w:r>
          </w:p>
        </w:tc>
        <w:tc>
          <w:tcPr>
            <w:tcW w:type="dxa" w:w="5669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用途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pystat</w:t>
            </w:r>
          </w:p>
        </w:tc>
        <w:tc>
          <w:tcPr>
            <w:tcW w:type="dxa" w:w="5669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Python 统计计算(psyclaw 的统计委托通道)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r-mcp</w:t>
            </w:r>
          </w:p>
        </w:tc>
        <w:tc>
          <w:tcPr>
            <w:tcW w:type="dxa" w:w="5669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调用本机 R 环境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spss-mcp / stata-mcp / mplus-mcp</w:t>
            </w:r>
          </w:p>
        </w:tc>
        <w:tc>
          <w:tcPr>
            <w:tcW w:type="dxa" w:w="5669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调用 SPSS、Stata、Mplus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mne-mcp</w:t>
            </w:r>
          </w:p>
        </w:tc>
        <w:tc>
          <w:tcPr>
            <w:tcW w:type="dxa" w:w="5669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脑电与脑磁数据处理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zotero-mcp</w:t>
            </w:r>
          </w:p>
        </w:tc>
        <w:tc>
          <w:tcPr>
            <w:tcW w:type="dxa" w:w="5669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Zotero 文献管理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osf-mcp</w:t>
            </w:r>
          </w:p>
        </w:tc>
        <w:tc>
          <w:tcPr>
            <w:tcW w:type="dxa" w:w="5669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OSF 预注册与资料托管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sequential-thinking</w:t>
            </w:r>
          </w:p>
        </w:tc>
        <w:tc>
          <w:tcPr>
            <w:tcW w:type="dxa" w:w="5669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复杂问题的分步推理</w:t>
            </w:r>
          </w:p>
        </w:tc>
      </w:tr>
    </w:tbl>
    <w:p>
      <w:pPr>
        <w:spacing w:after="80"/>
      </w:pPr>
    </w:p>
    <w:p>
      <w:pPr>
        <w:spacing w:after="4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查看目录与启用状态: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mcp        # 查看 MCP 目录与当前启用状态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>psyclaw config     # 配置向导中可完成密钥与路径设置</w:t>
            </w:r>
          </w:p>
        </w:tc>
      </w:tr>
    </w:tbl>
    <w:p>
      <w:pPr>
        <w:spacing w:after="80"/>
      </w:pP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已有 SPSS、Mplus 使用习惯的研究者，可通过对应 MCP 继续使用原有软件，由 PsyClaw 负责流程串联与结果归档。PsyClaw 也会发现宿主已有 MCP 配置；项目级配置默认仅发现、不执行，确认项目可信后才可显式信任。当前执行客户端仅支持 stdio MCP。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E6B3A"/>
                <w:sz w:val="20"/>
              </w:rPr>
              <w:t>实用建议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MCP 采用惰性加载：未实际调用时不会启动对应进程。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配置中的环境变量只传给对应 MCP 子进程，不会显示在 Agent 上下文中。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所有写盘、下载和外部副作用仍沿用审批机制。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28"/>
        </w:rPr>
        <w:t>6.4　资料编译与可审计 Skill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已有的论文、访谈材料、网页或视频资料可先编译为可检索的项目材料，再由 Agent建立带哈希、来源和验证状态的证据账本。资料可导航不代表结论已被验证；Skill 的晋升仍需要人工核查。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psyclaw convert materials.docx --out notes/materials.md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>psyclaw convert --url https://example.org/video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36"/>
        </w:rPr>
        <w:t>附录 A　常用表述速查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下表左列为常见需求,右列为可直接采用的表述。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494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想做的事</w:t>
            </w:r>
          </w:p>
        </w:tc>
        <w:tc>
          <w:tcPr>
            <w:tcW w:type="dxa" w:w="6123"/>
            <w:shd w:val="clear" w:fill="E8EDF3"/>
          </w:tcPr>
          <w:p>
            <w:r/>
            <w:r>
              <w:rPr>
                <w:rFonts w:ascii="Arial Unicode MS" w:hAnsi="Arial Unicode MS" w:eastAsia="Arial Unicode MS" w:cs="Arial Unicode MS" w:hint="eastAsia"/>
                <w:b/>
                <w:sz w:val="19"/>
              </w:rPr>
              <w:t>可以这样说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开始一个新研究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我要研究 X 对 Y 的影响,先把研究准备清单过一遍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找文献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帮我找 X 近三年的研究,15 篇左右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顺着引用找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帮我找找引用了这篇的后续研究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下载全文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把上面这几篇下载下来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用机构权限拿付费文章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这篇有付费墙,帮我走机构权限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查我的 Zotero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先在我的 Zotero 里看看有没有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核查引用真伪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核一下这稿子里的参考文献是不是都真实存在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看数据情况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数据在这个文件,帮我看看什么情况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量表计分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按这个量表的规则算总分,第 N 题是反向题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做分析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帮我做个中介分析,自变量 X,中介 M,因变量 Y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检查前提假设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这些数据适合做回归吗,前提假设满足吗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写稿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根据分析结果帮我写方法部分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润色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这段太啰嗦,精简到 150 字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规范检查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按 APA 规范检查一下这份稿子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模拟审稿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帮我审一下这篇,尽量挑刺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画图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把这三组均值画成柱状图,APA 风格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导出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导出成心理学报格式的 Word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看进度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现在进展到哪了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走完整分析流程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帮我把这份数据的实证分析流程完整走一遍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做文献综述流程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帮我做这个主题的文献综述,按 PRISMA 流程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自主推进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按现在的进度继续推进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放宽审批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/approval auto(批量操作时用,完成后切回)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收紧文件访问</w:t>
            </w:r>
          </w:p>
        </w:tc>
        <w:tc>
          <w:tcPr>
            <w:tcW w:type="dxa" w:w="6123"/>
          </w:tcPr>
          <w:p>
            <w:r/>
            <w:r>
              <w:rPr>
                <w:rFonts w:ascii="Arial Unicode MS" w:hAnsi="Arial Unicode MS" w:eastAsia="Arial Unicode MS" w:cs="Arial Unicode MS" w:hint="eastAsia"/>
                <w:sz w:val="18"/>
              </w:rPr>
              <w:t>/access safe(处理未公开数据时用)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36"/>
        </w:rPr>
        <w:t>附录 B　自定义量表配置</w:t>
      </w:r>
    </w:p>
    <w:p>
      <w:pPr>
        <w:spacing w:after="12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PsyClaw 不内置量表库——常用量表版本众多、计分规则各异,内置不完整的量表库反而易致误用。研究者提供一次所用量表,此后持续可用。</w:t>
      </w:r>
    </w:p>
    <w:p>
      <w:pPr>
        <w:spacing w:after="4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最简便的方式是在对话中直接说明: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1F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F4E79"/>
                <w:sz w:val="20"/>
              </w:rPr>
              <w:t>对话示例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「我要用 MBI 通用版,16 题,0–6 计分,第 13、14 题反向,分三个维度:情绪衰竭 1–5 题,玩世不恭 6–9 题,职业效能 10–16 题。帮我把它加到量表定义里」</w:t>
            </w:r>
          </w:p>
        </w:tc>
      </w:tr>
    </w:tbl>
    <w:p>
      <w:pPr>
        <w:spacing w:after="80"/>
      </w:pPr>
    </w:p>
    <w:p>
      <w:pPr>
        <w:spacing w:after="4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系统将生成量表定义文件保存至项目中。亦可自行在 .psyclaw/scales/ 目录下编写,格式如下: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2F2F2"/>
          </w:tcPr>
          <w:p>
            <w:pPr>
              <w:spacing w:after="0" w:line="276" w:lineRule="auto"/>
            </w:pPr>
            <w:r/>
            <w:r>
              <w:rPr>
                <w:rFonts w:ascii="Menlo" w:hAnsi="Menlo"/>
                <w:color w:val="444444"/>
                <w:sz w:val="18"/>
              </w:rPr>
              <w:t>- id: mbi-gs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name: Maslach 倦怠量表(通用版)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items: 16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scale_min: 0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scale_max: 6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reverse: [13, 14]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subscales: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  情绪衰竭: [1, 2, 3, 4, 5]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  玩世不恭: [6, 7, 8, 9]</w:t>
            </w:r>
          </w:p>
          <w:p>
            <w:pPr>
              <w:spacing w:after="0" w:line="276" w:lineRule="auto"/>
            </w:pPr>
            <w:r>
              <w:rPr>
                <w:rFonts w:ascii="Menlo" w:hAnsi="Menlo"/>
                <w:color w:val="444444"/>
                <w:sz w:val="18"/>
              </w:rPr>
              <w:t xml:space="preserve">    职业效能: [10, 11, 12, 13, 14, 15, 16]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EAF5EE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 w:hint="eastAsia"/>
                <w:b/>
                <w:color w:val="1E6B3A"/>
                <w:sz w:val="20"/>
              </w:rPr>
              <w:t>实用建议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量表定义编写一次即可跨研究复用。建议将课题组常用量表一次性配置完成,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并在 name 字段注明所用中文修订版本及来源文献——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 w:cs="Arial Unicode MS" w:hint="eastAsia"/>
                <w:sz w:val="19"/>
              </w:rPr>
              <w:t>撰写方法部分时需引用。</w:t>
            </w:r>
          </w:p>
        </w:tc>
      </w:tr>
    </w:tbl>
    <w:p>
      <w:pPr>
        <w:spacing w:after="80"/>
      </w:pPr>
    </w:p>
    <w:p>
      <w:pPr>
        <w:pStyle w:val="Heading1"/>
        <w:spacing w:before="360" w:after="160"/>
      </w:pPr>
      <w:r>
        <w:rPr>
          <w:rFonts w:ascii="Arial Unicode MS" w:hAnsi="Arial Unicode MS" w:eastAsia="Arial Unicode MS" w:cs="Arial Unicode MS" w:hint="eastAsia"/>
          <w:b/>
          <w:color w:val="1A1A1A"/>
          <w:sz w:val="36"/>
        </w:rPr>
        <w:t>附录 C　常见问题</w:t>
      </w:r>
    </w:p>
    <w:p>
      <w:pPr>
        <w:spacing w:after="40" w:line="360" w:lineRule="auto"/>
      </w:pPr>
      <w:r>
        <w:rPr>
          <w:rFonts w:ascii="Arial Unicode MS" w:hAnsi="Arial Unicode MS" w:eastAsia="Arial Unicode MS" w:cs="Arial Unicode MS" w:hint="eastAsia"/>
          <w:b/>
          <w:i w:val="0"/>
          <w:sz w:val="21"/>
        </w:rPr>
        <w:t>问:一定要联网吗?</w:t>
      </w:r>
    </w:p>
    <w:p>
      <w:pPr>
        <w:spacing w:after="16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答:文献检索与引用核查需联网;撰写、检查、导出、计分均可离线进行。调用模型本身需要网络连接。</w:t>
      </w:r>
    </w:p>
    <w:p>
      <w:pPr>
        <w:spacing w:after="40" w:line="360" w:lineRule="auto"/>
      </w:pPr>
      <w:r>
        <w:rPr>
          <w:rFonts w:ascii="Arial Unicode MS" w:hAnsi="Arial Unicode MS" w:eastAsia="Arial Unicode MS" w:cs="Arial Unicode MS" w:hint="eastAsia"/>
          <w:b/>
          <w:i w:val="0"/>
          <w:sz w:val="21"/>
        </w:rPr>
        <w:t>问:我的数据会被上传吗?</w:t>
      </w:r>
    </w:p>
    <w:p>
      <w:pPr>
        <w:spacing w:after="16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答:PsyClaw 不会主动读取原始数据目录。在对话中明确指定读取的文件,其内容将随请求发送至所配置的模型服务——涉及被试隐私时请审慎处理,并确认符合伦理委员会要求。</w:t>
      </w:r>
    </w:p>
    <w:p>
      <w:pPr>
        <w:spacing w:after="40" w:line="360" w:lineRule="auto"/>
      </w:pPr>
      <w:r>
        <w:rPr>
          <w:rFonts w:ascii="Arial Unicode MS" w:hAnsi="Arial Unicode MS" w:eastAsia="Arial Unicode MS" w:cs="Arial Unicode MS" w:hint="eastAsia"/>
          <w:b/>
          <w:i w:val="0"/>
          <w:sz w:val="21"/>
        </w:rPr>
        <w:t>问:能替代 SPSS 或 JASP 吗?</w:t>
      </w:r>
    </w:p>
    <w:p>
      <w:pPr>
        <w:spacing w:after="16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答:定位不同。其长处在于串联完整流程并留下可复现记录;点选式软件的即时探索体验则非其所长。二者可并行使用。</w:t>
      </w:r>
    </w:p>
    <w:p>
      <w:pPr>
        <w:spacing w:after="40" w:line="360" w:lineRule="auto"/>
      </w:pPr>
      <w:r>
        <w:rPr>
          <w:rFonts w:ascii="Arial Unicode MS" w:hAnsi="Arial Unicode MS" w:eastAsia="Arial Unicode MS" w:cs="Arial Unicode MS" w:hint="eastAsia"/>
          <w:b/>
          <w:i w:val="0"/>
          <w:sz w:val="21"/>
        </w:rPr>
        <w:t>问:生成的稿子能直接投吗?</w:t>
      </w:r>
    </w:p>
    <w:p>
      <w:pPr>
        <w:spacing w:after="16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答:不能。全部统计解读与文献引用均须研究者本人复核。其价值在于将易错环节转化为可核验的流程,而非代为承担责任。</w:t>
      </w:r>
    </w:p>
    <w:p>
      <w:pPr>
        <w:spacing w:after="40" w:line="360" w:lineRule="auto"/>
      </w:pPr>
      <w:r>
        <w:rPr>
          <w:rFonts w:ascii="Arial Unicode MS" w:hAnsi="Arial Unicode MS" w:eastAsia="Arial Unicode MS" w:cs="Arial Unicode MS" w:hint="eastAsia"/>
          <w:b/>
          <w:i w:val="0"/>
          <w:sz w:val="21"/>
        </w:rPr>
        <w:t>问:它会不会编造文献?</w:t>
      </w:r>
    </w:p>
    <w:p>
      <w:pPr>
        <w:spacing w:after="16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答:不会。检索失败时如实告知,并给出后续可行方案。交稿前可要求其将每条参考文献送数据库逐条核验。</w:t>
      </w:r>
    </w:p>
    <w:p>
      <w:pPr>
        <w:spacing w:after="40" w:line="360" w:lineRule="auto"/>
      </w:pPr>
      <w:r>
        <w:rPr>
          <w:rFonts w:ascii="Arial Unicode MS" w:hAnsi="Arial Unicode MS" w:eastAsia="Arial Unicode MS" w:cs="Arial Unicode MS" w:hint="eastAsia"/>
          <w:b/>
          <w:i w:val="0"/>
          <w:sz w:val="21"/>
        </w:rPr>
        <w:t>问:换电脑了怎么办?</w:t>
      </w:r>
    </w:p>
    <w:p>
      <w:pPr>
        <w:spacing w:after="160" w:line="360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sz w:val="21"/>
        </w:rPr>
        <w:t>答:重新安装即可。配置与量表定义随项目目录保存,拷贝项目目录至新机器即可继续使用。</w:t>
      </w:r>
    </w:p>
    <w:p>
      <w:pPr>
        <w:spacing w:after="120" w:line="360" w:lineRule="auto"/>
        <w:jc w:val="center"/>
      </w:pPr>
      <w:r>
        <w:rPr>
          <w:rFonts w:ascii="Arial Unicode MS" w:hAnsi="Arial Unicode MS" w:eastAsia="Arial Unicode MS" w:cs="Arial Unicode MS" w:hint="eastAsia"/>
          <w:b w:val="0"/>
          <w:i w:val="0"/>
          <w:color w:val="444444"/>
          <w:sz w:val="19"/>
        </w:rPr>
        <w:t>PsyClaw v0.23.0 · 源码、问题反馈与协作交接:https://github.com/Exekiel179/psyclaw · MIT 许可</w:t>
      </w:r>
    </w:p>
    <w:sectPr w:rsidR="00FC693F" w:rsidRPr="0006063C" w:rsidSect="00034616">
      <w:footerReference w:type="default" r:id="rId9"/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 w:hint="eastAsia"/>
        <w:color w:val="888888"/>
        <w:sz w:val="16"/>
      </w:rPr>
      <w:t>PsyClaw 使用白皮书 · v0.23.0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