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spacing w:after="40" w:line="360" w:lineRule="auto"/>
        <w:jc w:val="center"/>
      </w:pPr>
      <w:r>
        <w:rPr>
          <w:rFonts w:ascii="Heiti SC" w:hAnsi="Heiti SC" w:eastAsia="Heiti SC"/>
          <w:b/>
          <w:i w:val="0"/>
          <w:sz w:val="40"/>
        </w:rPr>
        <w:t>心理学研究者的</w:t>
      </w:r>
    </w:p>
    <w:p>
      <w:pPr>
        <w:spacing w:after="280" w:line="360" w:lineRule="auto"/>
        <w:jc w:val="center"/>
      </w:pPr>
      <w:r>
        <w:rPr>
          <w:rFonts w:ascii="Heiti SC" w:hAnsi="Heiti SC" w:eastAsia="Heiti SC"/>
          <w:b/>
          <w:i w:val="0"/>
          <w:sz w:val="56"/>
        </w:rPr>
        <w:t>PsyClaw 使用白皮书</w:t>
      </w:r>
    </w:p>
    <w:p>
      <w:pPr>
        <w:spacing w:after="80" w:line="360" w:lineRule="auto"/>
        <w:jc w:val="center"/>
      </w:pPr>
      <w:r>
        <w:rPr>
          <w:rFonts w:ascii="Songti SC" w:hAnsi="Songti SC" w:eastAsia="Songti SC"/>
          <w:b w:val="0"/>
          <w:i w:val="0"/>
          <w:sz w:val="26"/>
        </w:rPr>
        <w:t>以自然语言完成研究全流程</w:t>
      </w:r>
    </w:p>
    <w:p>
      <w:pPr>
        <w:spacing w:after="360" w:line="360" w:lineRule="auto"/>
        <w:jc w:val="center"/>
      </w:pPr>
      <w:r>
        <w:rPr>
          <w:rFonts w:ascii="Songti SC" w:hAnsi="Songti SC" w:eastAsia="Songti SC"/>
          <w:b w:val="0"/>
          <w:i w:val="0"/>
          <w:color w:val="444444"/>
          <w:sz w:val="24"/>
        </w:rPr>
        <w:t>—— 文献 · 统计分析 · 论文写作润色 ——</w:t>
      </w:r>
    </w:p>
    <w:p>
      <w:pPr>
        <w:spacing w:after="800" w:line="360" w:lineRule="auto"/>
        <w:jc w:val="center"/>
      </w:pPr>
      <w:r>
        <w:rPr>
          <w:rFonts w:ascii="Songti SC" w:hAnsi="Songti SC" w:eastAsia="Songti SC"/>
          <w:b w:val="0"/>
          <w:i w:val="0"/>
          <w:color w:val="1F4E79"/>
          <w:sz w:val="22"/>
        </w:rPr>
        <w:t>无需编程 · 无需记忆命令</w:t>
      </w:r>
    </w:p>
    <w:p>
      <w:pPr>
        <w:spacing w:after="120" w:line="360" w:lineRule="auto"/>
        <w:jc w:val="center"/>
      </w:pPr>
      <w:r>
        <w:rPr>
          <w:rFonts w:ascii="Songti SC" w:hAnsi="Songti SC" w:eastAsia="Songti SC"/>
          <w:b w:val="0"/>
          <w:i w:val="0"/>
          <w:color w:val="444444"/>
          <w:sz w:val="22"/>
        </w:rPr>
        <w:t>2026 年 7 月 · v0.21.0</w:t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Heiti SC" w:hAnsi="Heiti SC" w:eastAsia="Heiti SC"/>
          <w:b/>
          <w:color w:val="1A1A1A"/>
          <w:sz w:val="36"/>
        </w:rPr>
        <w:t>关于本白皮书</w:t>
      </w:r>
    </w:p>
    <w:p>
      <w:pPr>
        <w:spacing w:after="120" w:line="360" w:lineRule="auto"/>
      </w:pPr>
      <w:r>
        <w:rPr>
          <w:rFonts w:ascii="Songti SC" w:hAnsi="Songti SC" w:eastAsia="Songti SC"/>
          <w:b w:val="0"/>
          <w:i w:val="0"/>
          <w:sz w:val="21"/>
        </w:rPr>
        <w:t>本白皮书面向心理学及相关行为科学领域的研究者——研究生、博士后、青年教师与资深 PI——介绍如何用 PsyClaw 完成文献调研、统计分析与论文写作润色。</w:t>
      </w:r>
    </w:p>
    <w:p>
      <w:pPr>
        <w:spacing w:after="120" w:line="360" w:lineRule="auto"/>
      </w:pPr>
      <w:r>
        <w:rPr>
          <w:rFonts w:ascii="Songti SC" w:hAnsi="Songti SC" w:eastAsia="Songti SC"/>
          <w:b w:val="0"/>
          <w:i w:val="0"/>
          <w:sz w:val="21"/>
        </w:rPr>
        <w:t>阅读本白皮书不需要编程基础,也不需要记住任何命令。安装完成后,全部交互均以自然语言进行:说明需求,由其执行;涉及写入文件、下载全文等操作时会先行征求同意。</w:t>
      </w:r>
    </w:p>
    <w:p>
      <w:pPr>
        <w:spacing w:after="120" w:line="360" w:lineRule="auto"/>
      </w:pPr>
      <w:r>
        <w:rPr>
          <w:rFonts w:ascii="Songti SC" w:hAnsi="Songti SC" w:eastAsia="Songti SC"/>
          <w:b w:val="0"/>
          <w:i w:val="0"/>
          <w:sz w:val="21"/>
        </w:rPr>
        <w:t>我们假定你熟悉常见的心理学统计方法(t 检验、方差分析、回归、中介分析),日常可能使用 SPSS、JASP 或 R。分析脚本由 PsyClaw 生成并交给成熟统计库运行,你不必自己写。</w:t>
      </w:r>
    </w:p>
    <w:p>
      <w:pPr>
        <w:pStyle w:val="Heading2"/>
        <w:spacing w:before="240" w:after="160"/>
      </w:pPr>
      <w:r>
        <w:rPr>
          <w:rFonts w:ascii="Heiti SC" w:hAnsi="Heiti SC" w:eastAsia="Heiti SC"/>
          <w:b/>
          <w:color w:val="1A1A1A"/>
          <w:sz w:val="28"/>
        </w:rPr>
        <w:t>如何使用本白皮书</w:t>
      </w:r>
    </w:p>
    <w:p>
      <w:pPr>
        <w:pStyle w:val="ListBullet"/>
        <w:spacing w:after="60" w:line="336" w:lineRule="auto"/>
      </w:pPr>
      <w:r>
        <w:rPr>
          <w:rFonts w:ascii="Songti SC" w:hAnsi="Songti SC" w:eastAsia="Songti SC"/>
          <w:sz w:val="21"/>
        </w:rPr>
        <w:t>第 1 章:安装与配置。首次使用前请完整阅读。</w:t>
      </w:r>
    </w:p>
    <w:p>
      <w:pPr>
        <w:pStyle w:val="ListBullet"/>
        <w:spacing w:after="60" w:line="336" w:lineRule="auto"/>
      </w:pPr>
      <w:r>
        <w:rPr>
          <w:rFonts w:ascii="Songti SC" w:hAnsi="Songti SC" w:eastAsia="Songti SC"/>
          <w:sz w:val="21"/>
        </w:rPr>
        <w:t>第 2–4 章:文献 → 统计分析 → 写作润色,三个阶段各成一章,可按需查阅。</w:t>
      </w:r>
    </w:p>
    <w:p>
      <w:pPr>
        <w:pStyle w:val="ListBullet"/>
        <w:spacing w:after="60" w:line="336" w:lineRule="auto"/>
      </w:pPr>
      <w:r>
        <w:rPr>
          <w:rFonts w:ascii="Songti SC" w:hAnsi="Songti SC" w:eastAsia="Songti SC"/>
          <w:sz w:val="21"/>
        </w:rPr>
        <w:t>第 5 章:使用建议与能力边界。</w:t>
      </w:r>
    </w:p>
    <w:p>
      <w:pPr>
        <w:pStyle w:val="ListBullet"/>
        <w:spacing w:after="60" w:line="336" w:lineRule="auto"/>
      </w:pPr>
      <w:r>
        <w:rPr>
          <w:rFonts w:ascii="Songti SC" w:hAnsi="Songti SC" w:eastAsia="Songti SC"/>
          <w:sz w:val="21"/>
        </w:rPr>
        <w:t>附录:常用表述速查、量表配置、常见问题。</w:t>
      </w:r>
    </w:p>
    <w:p>
      <w:pPr>
        <w:spacing w:after="200" w:line="360" w:lineRule="auto"/>
      </w:pPr>
      <w:r>
        <w:rPr>
          <w:rFonts w:ascii="Songti SC" w:hAnsi="Songti SC" w:eastAsia="Songti SC"/>
          <w:b w:val="0"/>
          <w:i w:val="0"/>
          <w:sz w:val="21"/>
        </w:rPr>
        <w:t>文中三类信息框:蓝色为对话示例(可直接照此表述),绿色为实用建议,黄色为风险提示。灰底为需在终端输入的命令——除安装配置外,正文中几乎不再涉及。</w:t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Heiti SC" w:hAnsi="Heiti SC" w:eastAsia="Heiti SC"/>
          <w:b/>
          <w:color w:val="1A1A1A"/>
          <w:sz w:val="36"/>
        </w:rPr>
        <w:t>PsyClaw 能做什么</w:t>
      </w:r>
    </w:p>
    <w:p>
      <w:pPr>
        <w:spacing w:after="120" w:line="360" w:lineRule="auto"/>
      </w:pPr>
      <w:r>
        <w:rPr>
          <w:rFonts w:ascii="Songti SC" w:hAnsi="Songti SC" w:eastAsia="Songti SC"/>
          <w:b w:val="0"/>
          <w:i w:val="0"/>
          <w:sz w:val="21"/>
        </w:rPr>
        <w:t>PsyClaw 承担研究流程中繁琐、易错而又必须准确的环节,使研究者得以专注于判断与思考。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3175"/>
            <w:shd w:val="clear" w:fill="E8EDF3"/>
          </w:tcPr>
          <w:p>
            <w:r/>
            <w:r>
              <w:rPr>
                <w:rFonts w:ascii="Heiti SC" w:hAnsi="Heiti SC" w:eastAsia="Heiti SC"/>
                <w:b/>
                <w:sz w:val="19"/>
              </w:rPr>
              <w:t>你想做的事</w:t>
            </w:r>
          </w:p>
        </w:tc>
        <w:tc>
          <w:tcPr>
            <w:tcW w:type="dxa" w:w="5443"/>
            <w:shd w:val="clear" w:fill="E8EDF3"/>
          </w:tcPr>
          <w:p>
            <w:r/>
            <w:r>
              <w:rPr>
                <w:rFonts w:ascii="Heiti SC" w:hAnsi="Heiti SC" w:eastAsia="Heiti SC"/>
                <w:b/>
                <w:sz w:val="19"/>
              </w:rPr>
              <w:t>你只需要说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Songti SC" w:hAnsi="Songti SC" w:eastAsia="Songti SC"/>
                <w:sz w:val="18"/>
              </w:rPr>
              <w:t>找某个主题近几年的文献</w:t>
            </w:r>
          </w:p>
        </w:tc>
        <w:tc>
          <w:tcPr>
            <w:tcW w:type="dxa" w:w="5443"/>
          </w:tcPr>
          <w:p>
            <w:r/>
            <w:r>
              <w:rPr>
                <w:rFonts w:ascii="Songti SC" w:hAnsi="Songti SC" w:eastAsia="Songti SC"/>
                <w:sz w:val="18"/>
              </w:rPr>
              <w:t>帮我找工作倦怠与离职意向近三年的研究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Songti SC" w:hAnsi="Songti SC" w:eastAsia="Songti SC"/>
                <w:sz w:val="18"/>
              </w:rPr>
              <w:t>把找到的文章下载下来</w:t>
            </w:r>
          </w:p>
        </w:tc>
        <w:tc>
          <w:tcPr>
            <w:tcW w:type="dxa" w:w="5443"/>
          </w:tcPr>
          <w:p>
            <w:r/>
            <w:r>
              <w:rPr>
                <w:rFonts w:ascii="Songti SC" w:hAnsi="Songti SC" w:eastAsia="Songti SC"/>
                <w:sz w:val="18"/>
              </w:rPr>
              <w:t>把这几篇下载下来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Songti SC" w:hAnsi="Songti SC" w:eastAsia="Songti SC"/>
                <w:sz w:val="18"/>
              </w:rPr>
              <w:t>确认参考文献没有编造</w:t>
            </w:r>
          </w:p>
        </w:tc>
        <w:tc>
          <w:tcPr>
            <w:tcW w:type="dxa" w:w="5443"/>
          </w:tcPr>
          <w:p>
            <w:r/>
            <w:r>
              <w:rPr>
                <w:rFonts w:ascii="Songti SC" w:hAnsi="Songti SC" w:eastAsia="Songti SC"/>
                <w:sz w:val="18"/>
              </w:rPr>
              <w:t>帮我核一下这稿子里的引用是不是都真实存在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Songti SC" w:hAnsi="Songti SC" w:eastAsia="Songti SC"/>
                <w:sz w:val="18"/>
              </w:rPr>
              <w:t>做一个中介效应分析</w:t>
            </w:r>
          </w:p>
        </w:tc>
        <w:tc>
          <w:tcPr>
            <w:tcW w:type="dxa" w:w="5443"/>
          </w:tcPr>
          <w:p>
            <w:r/>
            <w:r>
              <w:rPr>
                <w:rFonts w:ascii="Songti SC" w:hAnsi="Songti SC" w:eastAsia="Songti SC"/>
                <w:sz w:val="18"/>
              </w:rPr>
              <w:t>帮我做个中介分析,自变量是 X,因变量是 Y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Songti SC" w:hAnsi="Songti SC" w:eastAsia="Songti SC"/>
                <w:sz w:val="18"/>
              </w:rPr>
              <w:t>检查稿件是否符合规范</w:t>
            </w:r>
          </w:p>
        </w:tc>
        <w:tc>
          <w:tcPr>
            <w:tcW w:type="dxa" w:w="5443"/>
          </w:tcPr>
          <w:p>
            <w:r/>
            <w:r>
              <w:rPr>
                <w:rFonts w:ascii="Songti SC" w:hAnsi="Songti SC" w:eastAsia="Songti SC"/>
                <w:sz w:val="18"/>
              </w:rPr>
              <w:t>帮我按 APA 规范检查一下这份稿子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Songti SC" w:hAnsi="Songti SC" w:eastAsia="Songti SC"/>
                <w:sz w:val="18"/>
              </w:rPr>
              <w:t>模拟审稿意见</w:t>
            </w:r>
          </w:p>
        </w:tc>
        <w:tc>
          <w:tcPr>
            <w:tcW w:type="dxa" w:w="5443"/>
          </w:tcPr>
          <w:p>
            <w:r/>
            <w:r>
              <w:rPr>
                <w:rFonts w:ascii="Songti SC" w:hAnsi="Songti SC" w:eastAsia="Songti SC"/>
                <w:sz w:val="18"/>
              </w:rPr>
              <w:t>帮我审一下这篇,像 Nature 审稿人那样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Songti SC" w:hAnsi="Songti SC" w:eastAsia="Songti SC"/>
                <w:sz w:val="18"/>
              </w:rPr>
              <w:t>导出成 Word 投稿</w:t>
            </w:r>
          </w:p>
        </w:tc>
        <w:tc>
          <w:tcPr>
            <w:tcW w:type="dxa" w:w="5443"/>
          </w:tcPr>
          <w:p>
            <w:r/>
            <w:r>
              <w:rPr>
                <w:rFonts w:ascii="Songti SC" w:hAnsi="Songti SC" w:eastAsia="Songti SC"/>
                <w:sz w:val="18"/>
              </w:rPr>
              <w:t>导出成心理学报格式的 Word</w:t>
            </w:r>
          </w:p>
        </w:tc>
      </w:tr>
    </w:tbl>
    <w:p>
      <w:pPr>
        <w:spacing w:after="80"/>
      </w:pPr>
    </w:p>
    <w:p>
      <w:pPr>
        <w:spacing w:after="120" w:line="360" w:lineRule="auto"/>
      </w:pPr>
      <w:r>
        <w:rPr>
          <w:rFonts w:ascii="Songti SC" w:hAnsi="Songti SC" w:eastAsia="Songti SC"/>
          <w:b w:val="0"/>
          <w:i w:val="0"/>
          <w:sz w:val="21"/>
        </w:rPr>
        <w:t>上表右列即为实际输入内容。无需参数与命令;表述不明确时,系统会主动追问。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66"/>
      </w:tblGrid>
      <w:tr>
        <w:tc>
          <w:tcPr>
            <w:tcW w:type="dxa" w:w="9066"/>
            <w:shd w:val="clear" w:fill="EAF5EE"/>
          </w:tcPr>
          <w:p>
            <w:pPr>
              <w:spacing w:after="40"/>
            </w:pPr>
            <w:r/>
            <w:r>
              <w:rPr>
                <w:rFonts w:ascii="Heiti SC" w:hAnsi="Heiti SC" w:eastAsia="Heiti SC"/>
                <w:b/>
                <w:color w:val="1E6B3A"/>
                <w:sz w:val="20"/>
              </w:rPr>
              <w:t>三项基本保证</w:t>
            </w:r>
          </w:p>
          <w:p>
            <w:pPr>
              <w:spacing w:after="20"/>
            </w:pPr>
            <w:r>
              <w:rPr>
                <w:rFonts w:ascii="Songti SC" w:hAnsi="Songti SC" w:eastAsia="Songti SC"/>
                <w:sz w:val="19"/>
              </w:rPr>
              <w:t>· 不编造文献。检索失败时如实告知,绝不以记忆内容拼凑书目。</w:t>
            </w:r>
          </w:p>
          <w:p>
            <w:pPr>
              <w:spacing w:after="20"/>
            </w:pPr>
            <w:r>
              <w:rPr>
                <w:rFonts w:ascii="Songti SC" w:hAnsi="Songti SC" w:eastAsia="Songti SC"/>
                <w:sz w:val="19"/>
              </w:rPr>
              <w:t>· 不编造数据。脚本未实际运行前,不提供含具体数值的「示例结果」。</w:t>
            </w:r>
          </w:p>
          <w:p>
            <w:pPr>
              <w:spacing w:after="20"/>
            </w:pPr>
            <w:r>
              <w:rPr>
                <w:rFonts w:ascii="Songti SC" w:hAnsi="Songti SC" w:eastAsia="Songti SC"/>
                <w:sz w:val="19"/>
              </w:rPr>
              <w:t>· 不擅自变更文件。写入、下载、修改文库前均先征求同意。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spacing w:before="360" w:after="160"/>
      </w:pPr>
      <w:r>
        <w:rPr>
          <w:rFonts w:ascii="Heiti SC" w:hAnsi="Heiti SC" w:eastAsia="Heiti SC"/>
          <w:b/>
          <w:color w:val="1A1A1A"/>
          <w:sz w:val="36"/>
        </w:rPr>
        <w:t>目录</w:t>
      </w:r>
    </w:p>
    <w:p>
      <w:pPr>
        <w:spacing w:after="80" w:line="360" w:lineRule="auto"/>
        <w:ind w:left="340"/>
      </w:pPr>
      <w:r>
        <w:rPr>
          <w:rFonts w:ascii="Songti SC" w:hAnsi="Songti SC" w:eastAsia="Songti SC"/>
          <w:b w:val="0"/>
          <w:i w:val="0"/>
          <w:sz w:val="22"/>
        </w:rPr>
        <w:t>关于本白皮书</w:t>
      </w:r>
    </w:p>
    <w:p>
      <w:pPr>
        <w:spacing w:after="80" w:line="360" w:lineRule="auto"/>
        <w:ind w:left="340"/>
      </w:pPr>
      <w:r>
        <w:rPr>
          <w:rFonts w:ascii="Songti SC" w:hAnsi="Songti SC" w:eastAsia="Songti SC"/>
          <w:b w:val="0"/>
          <w:i w:val="0"/>
          <w:sz w:val="22"/>
        </w:rPr>
        <w:t>PsyClaw 能做什么</w:t>
      </w:r>
    </w:p>
    <w:p>
      <w:pPr>
        <w:spacing w:after="80" w:line="360" w:lineRule="auto"/>
        <w:ind w:left="340"/>
      </w:pPr>
      <w:r>
        <w:rPr>
          <w:rFonts w:ascii="Songti SC" w:hAnsi="Songti SC" w:eastAsia="Songti SC"/>
          <w:b w:val="0"/>
          <w:i w:val="0"/>
          <w:sz w:val="22"/>
        </w:rPr>
        <w:t>第一章　安装与配置</w:t>
      </w:r>
    </w:p>
    <w:p>
      <w:pPr>
        <w:spacing w:after="80" w:line="360" w:lineRule="auto"/>
        <w:ind w:left="340"/>
      </w:pPr>
      <w:r>
        <w:rPr>
          <w:rFonts w:ascii="Songti SC" w:hAnsi="Songti SC" w:eastAsia="Songti SC"/>
          <w:b w:val="0"/>
          <w:i w:val="0"/>
          <w:sz w:val="22"/>
        </w:rPr>
        <w:t>第二章　文献检索与全文获取</w:t>
      </w:r>
    </w:p>
    <w:p>
      <w:pPr>
        <w:spacing w:after="80" w:line="360" w:lineRule="auto"/>
        <w:ind w:left="340"/>
      </w:pPr>
      <w:r>
        <w:rPr>
          <w:rFonts w:ascii="Songti SC" w:hAnsi="Songti SC" w:eastAsia="Songti SC"/>
          <w:b w:val="0"/>
          <w:i w:val="0"/>
          <w:sz w:val="22"/>
        </w:rPr>
        <w:t>第三章　统计分析</w:t>
      </w:r>
    </w:p>
    <w:p>
      <w:pPr>
        <w:spacing w:after="80" w:line="360" w:lineRule="auto"/>
        <w:ind w:left="340"/>
      </w:pPr>
      <w:r>
        <w:rPr>
          <w:rFonts w:ascii="Songti SC" w:hAnsi="Songti SC" w:eastAsia="Songti SC"/>
          <w:b w:val="0"/>
          <w:i w:val="0"/>
          <w:sz w:val="22"/>
        </w:rPr>
        <w:t>第四章　论文写作与润色</w:t>
      </w:r>
    </w:p>
    <w:p>
      <w:pPr>
        <w:spacing w:after="80" w:line="360" w:lineRule="auto"/>
        <w:ind w:left="340"/>
      </w:pPr>
      <w:r>
        <w:rPr>
          <w:rFonts w:ascii="Songti SC" w:hAnsi="Songti SC" w:eastAsia="Songti SC"/>
          <w:b w:val="0"/>
          <w:i w:val="0"/>
          <w:sz w:val="22"/>
        </w:rPr>
        <w:t>第五章　使用建议与能力边界</w:t>
      </w:r>
    </w:p>
    <w:p>
      <w:pPr>
        <w:spacing w:after="80" w:line="360" w:lineRule="auto"/>
        <w:ind w:left="340"/>
      </w:pPr>
      <w:r>
        <w:rPr>
          <w:rFonts w:ascii="Songti SC" w:hAnsi="Songti SC" w:eastAsia="Songti SC"/>
          <w:b w:val="0"/>
          <w:i w:val="0"/>
          <w:sz w:val="22"/>
        </w:rPr>
        <w:t>第六章　流程编排与能力扩展</w:t>
      </w:r>
    </w:p>
    <w:p>
      <w:pPr>
        <w:spacing w:after="80" w:line="360" w:lineRule="auto"/>
        <w:ind w:left="340"/>
      </w:pPr>
      <w:r>
        <w:rPr>
          <w:rFonts w:ascii="Songti SC" w:hAnsi="Songti SC" w:eastAsia="Songti SC"/>
          <w:b w:val="0"/>
          <w:i w:val="0"/>
          <w:sz w:val="22"/>
        </w:rPr>
        <w:t>附录 A　常用表述速查</w:t>
      </w:r>
    </w:p>
    <w:p>
      <w:pPr>
        <w:spacing w:after="80" w:line="360" w:lineRule="auto"/>
        <w:ind w:left="340"/>
      </w:pPr>
      <w:r>
        <w:rPr>
          <w:rFonts w:ascii="Songti SC" w:hAnsi="Songti SC" w:eastAsia="Songti SC"/>
          <w:b w:val="0"/>
          <w:i w:val="0"/>
          <w:sz w:val="22"/>
        </w:rPr>
        <w:t>附录 B　自定义量表配置</w:t>
      </w:r>
    </w:p>
    <w:p>
      <w:pPr>
        <w:spacing w:after="80" w:line="360" w:lineRule="auto"/>
        <w:ind w:left="340"/>
      </w:pPr>
      <w:r>
        <w:rPr>
          <w:rFonts w:ascii="Songti SC" w:hAnsi="Songti SC" w:eastAsia="Songti SC"/>
          <w:b w:val="0"/>
          <w:i w:val="0"/>
          <w:sz w:val="22"/>
        </w:rPr>
        <w:t>附录 C　常见问题</w:t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Heiti SC" w:hAnsi="Heiti SC" w:eastAsia="Heiti SC"/>
          <w:b/>
          <w:color w:val="1A1A1A"/>
          <w:sz w:val="36"/>
        </w:rPr>
        <w:t>第一章　安装与配置</w:t>
      </w:r>
    </w:p>
    <w:p>
      <w:pPr>
        <w:spacing w:after="120" w:line="360" w:lineRule="auto"/>
      </w:pPr>
      <w:r>
        <w:rPr>
          <w:rFonts w:ascii="Songti SC" w:hAnsi="Songti SC" w:eastAsia="Songti SC"/>
          <w:b w:val="0"/>
          <w:i w:val="0"/>
          <w:sz w:val="21"/>
        </w:rPr>
        <w:t>本章是全书唯一需要在终端输入命令的部分。配置完成后,后续交互均以自然语言进行。</w:t>
      </w:r>
    </w:p>
    <w:p>
      <w:pPr>
        <w:pStyle w:val="Heading2"/>
        <w:spacing w:before="240" w:after="160"/>
      </w:pPr>
      <w:r>
        <w:rPr>
          <w:rFonts w:ascii="Heiti SC" w:hAnsi="Heiti SC" w:eastAsia="Heiti SC"/>
          <w:b/>
          <w:color w:val="1A1A1A"/>
          <w:sz w:val="28"/>
        </w:rPr>
        <w:t>1.1　安装:国际网络环境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66"/>
      </w:tblGrid>
      <w:tr>
        <w:tc>
          <w:tcPr>
            <w:tcW w:type="dxa" w:w="9066"/>
            <w:shd w:val="clear" w:fill="F2F2F2"/>
          </w:tcPr>
          <w:p>
            <w:pPr>
              <w:spacing w:after="0" w:line="276" w:lineRule="auto"/>
            </w:pPr>
            <w:r/>
            <w:r>
              <w:rPr>
                <w:rFonts w:ascii="Menlo" w:hAnsi="Menlo"/>
                <w:color w:val="444444"/>
                <w:sz w:val="18"/>
              </w:rPr>
              <w:t>uv tool install --python 3.12 \</w:t>
            </w:r>
          </w:p>
          <w:p>
            <w:pPr>
              <w:spacing w:after="0" w:line="276" w:lineRule="auto"/>
            </w:pPr>
            <w:r>
              <w:rPr>
                <w:rFonts w:ascii="Menlo" w:hAnsi="Menlo"/>
                <w:color w:val="444444"/>
                <w:sz w:val="18"/>
              </w:rPr>
              <w:t xml:space="preserve">  "git+https://github.com/Exekiel179/psyclaw.git@v0.21.0"</w:t>
            </w:r>
          </w:p>
        </w:tc>
      </w:tr>
    </w:tbl>
    <w:p>
      <w:pPr>
        <w:spacing w:after="80"/>
      </w:pPr>
    </w:p>
    <w:p>
      <w:pPr>
        <w:spacing w:after="40" w:line="360" w:lineRule="auto"/>
      </w:pPr>
      <w:r>
        <w:rPr>
          <w:rFonts w:ascii="Songti SC" w:hAnsi="Songti SC" w:eastAsia="Songti SC"/>
          <w:b w:val="0"/>
          <w:i w:val="0"/>
          <w:sz w:val="21"/>
        </w:rPr>
        <w:t>若提示未找到 uv,请先安装: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66"/>
      </w:tblGrid>
      <w:tr>
        <w:tc>
          <w:tcPr>
            <w:tcW w:type="dxa" w:w="9066"/>
            <w:shd w:val="clear" w:fill="F2F2F2"/>
          </w:tcPr>
          <w:p>
            <w:pPr>
              <w:spacing w:after="0" w:line="276" w:lineRule="auto"/>
            </w:pPr>
            <w:r/>
            <w:r>
              <w:rPr>
                <w:rFonts w:ascii="Menlo" w:hAnsi="Menlo"/>
                <w:color w:val="444444"/>
                <w:sz w:val="18"/>
              </w:rPr>
              <w:t>curl -LsSf https://astral.sh/uv/install.sh | sh</w:t>
            </w:r>
          </w:p>
        </w:tc>
      </w:tr>
    </w:tbl>
    <w:p>
      <w:pPr>
        <w:spacing w:after="80"/>
      </w:pPr>
    </w:p>
    <w:p>
      <w:pPr>
        <w:pStyle w:val="Heading2"/>
        <w:spacing w:before="240" w:after="160"/>
      </w:pPr>
      <w:r>
        <w:rPr>
          <w:rFonts w:ascii="Heiti SC" w:hAnsi="Heiti SC" w:eastAsia="Heiti SC"/>
          <w:b/>
          <w:color w:val="1A1A1A"/>
          <w:sz w:val="28"/>
        </w:rPr>
        <w:t>1.2　安装:国内网络环境</w:t>
      </w:r>
    </w:p>
    <w:p>
      <w:pPr>
        <w:spacing w:after="120" w:line="360" w:lineRule="auto"/>
      </w:pPr>
      <w:r>
        <w:rPr>
          <w:rFonts w:ascii="Songti SC" w:hAnsi="Songti SC" w:eastAsia="Songti SC"/>
          <w:b w:val="0"/>
          <w:i w:val="0"/>
          <w:sz w:val="21"/>
        </w:rPr>
        <w:t>国内网络环境下直接执行上述命令通常会失败。建议使用一键脚本,该脚本会自动检测网络状况并切换至国内镜像: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66"/>
      </w:tblGrid>
      <w:tr>
        <w:tc>
          <w:tcPr>
            <w:tcW w:type="dxa" w:w="9066"/>
            <w:shd w:val="clear" w:fill="F2F2F2"/>
          </w:tcPr>
          <w:p>
            <w:pPr>
              <w:spacing w:after="0" w:line="276" w:lineRule="auto"/>
            </w:pPr>
            <w:r/>
            <w:r>
              <w:rPr>
                <w:rFonts w:ascii="Menlo" w:hAnsi="Menlo"/>
                <w:color w:val="444444"/>
                <w:sz w:val="18"/>
              </w:rPr>
              <w:t>curl -fsSL https://exekiel179.github.io/psyclaw/install.sh | sh</w:t>
            </w:r>
          </w:p>
        </w:tc>
      </w:tr>
    </w:tbl>
    <w:p>
      <w:pPr>
        <w:spacing w:after="80"/>
      </w:pPr>
    </w:p>
    <w:p>
      <w:pPr>
        <w:spacing w:after="120" w:line="360" w:lineRule="auto"/>
      </w:pPr>
      <w:r>
        <w:rPr>
          <w:rFonts w:ascii="Songti SC" w:hAnsi="Songti SC" w:eastAsia="Songti SC"/>
          <w:b w:val="0"/>
          <w:i w:val="0"/>
          <w:sz w:val="21"/>
        </w:rPr>
        <w:t>如需强制使用国内镜像,可在命令前加 PSYCLAW_CN=1。Windows 环境请以 PowerShell 执行同名的 install.ps1。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66"/>
      </w:tblGrid>
      <w:tr>
        <w:tc>
          <w:tcPr>
            <w:tcW w:type="dxa" w:w="9066"/>
            <w:shd w:val="clear" w:fill="FBF3E2"/>
          </w:tcPr>
          <w:p>
            <w:pPr>
              <w:spacing w:after="40"/>
            </w:pPr>
            <w:r/>
            <w:r>
              <w:rPr>
                <w:rFonts w:ascii="Heiti SC" w:hAnsi="Heiti SC" w:eastAsia="Heiti SC"/>
                <w:b/>
                <w:color w:val="8A5A00"/>
                <w:sz w:val="20"/>
              </w:rPr>
              <w:t>风险提示</w:t>
            </w:r>
          </w:p>
          <w:p>
            <w:pPr>
              <w:spacing w:after="20"/>
            </w:pPr>
            <w:r>
              <w:rPr>
                <w:rFonts w:ascii="Songti SC" w:hAnsi="Songti SC" w:eastAsia="Songti SC"/>
                <w:sz w:val="19"/>
              </w:rPr>
              <w:t>一键脚本在 GitHub 不可达时会改用第三方镜像 gitclone.com。</w:t>
            </w:r>
          </w:p>
          <w:p>
            <w:pPr>
              <w:spacing w:after="20"/>
            </w:pPr>
            <w:r>
              <w:rPr>
                <w:rFonts w:ascii="Songti SC" w:hAnsi="Songti SC" w:eastAsia="Songti SC"/>
                <w:sz w:val="19"/>
              </w:rPr>
              <w:t>该镜像非官方渠道,代码完整性不作保证;能连 GitHub 时请优先用官方地址。</w:t>
            </w:r>
          </w:p>
        </w:tc>
      </w:tr>
    </w:tbl>
    <w:p>
      <w:pPr>
        <w:spacing w:after="80"/>
      </w:pPr>
    </w:p>
    <w:p>
      <w:pPr>
        <w:pStyle w:val="Heading2"/>
        <w:spacing w:before="240" w:after="160"/>
      </w:pPr>
      <w:r>
        <w:rPr>
          <w:rFonts w:ascii="Heiti SC" w:hAnsi="Heiti SC" w:eastAsia="Heiti SC"/>
          <w:b/>
          <w:color w:val="1A1A1A"/>
          <w:sz w:val="28"/>
        </w:rPr>
        <w:t>1.3　分发包:批量部署与无网环境</w:t>
      </w:r>
    </w:p>
    <w:p>
      <w:pPr>
        <w:spacing w:after="120" w:line="360" w:lineRule="auto"/>
      </w:pPr>
      <w:r>
        <w:rPr>
          <w:rFonts w:ascii="Songti SC" w:hAnsi="Songti SC" w:eastAsia="Songti SC"/>
          <w:b w:val="0"/>
          <w:i w:val="0"/>
          <w:sz w:val="21"/>
        </w:rPr>
        <w:t>需为课题组批量部署,或目标机器无法联网时,使用分发包: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3742"/>
            <w:shd w:val="clear" w:fill="E8EDF3"/>
          </w:tcPr>
          <w:p>
            <w:r/>
            <w:r>
              <w:rPr>
                <w:rFonts w:ascii="Heiti SC" w:hAnsi="Heiti SC" w:eastAsia="Heiti SC"/>
                <w:b/>
                <w:sz w:val="19"/>
              </w:rPr>
              <w:t>文件</w:t>
            </w:r>
          </w:p>
        </w:tc>
        <w:tc>
          <w:tcPr>
            <w:tcW w:type="dxa" w:w="4876"/>
            <w:shd w:val="clear" w:fill="E8EDF3"/>
          </w:tcPr>
          <w:p>
            <w:r/>
            <w:r>
              <w:rPr>
                <w:rFonts w:ascii="Heiti SC" w:hAnsi="Heiti SC" w:eastAsia="Heiti SC"/>
                <w:b/>
                <w:sz w:val="19"/>
              </w:rPr>
              <w:t>适用场景</w:t>
            </w:r>
          </w:p>
        </w:tc>
      </w:tr>
      <w:tr>
        <w:tc>
          <w:tcPr>
            <w:tcW w:type="dxa" w:w="3742"/>
          </w:tcPr>
          <w:p>
            <w:r/>
            <w:r>
              <w:rPr>
                <w:rFonts w:ascii="Songti SC" w:hAnsi="Songti SC" w:eastAsia="Songti SC"/>
                <w:sz w:val="18"/>
              </w:rPr>
              <w:t>psyclaw-0.21.0-py3-none-any.whl</w:t>
            </w:r>
          </w:p>
        </w:tc>
        <w:tc>
          <w:tcPr>
            <w:tcW w:type="dxa" w:w="4876"/>
          </w:tcPr>
          <w:p>
            <w:r/>
            <w:r>
              <w:rPr>
                <w:rFonts w:ascii="Songti SC" w:hAnsi="Songti SC" w:eastAsia="Songti SC"/>
                <w:sz w:val="18"/>
              </w:rPr>
              <w:t>常规离线安装(装时仍需拉一个依赖)</w:t>
            </w:r>
          </w:p>
        </w:tc>
      </w:tr>
      <w:tr>
        <w:tc>
          <w:tcPr>
            <w:tcW w:type="dxa" w:w="3742"/>
          </w:tcPr>
          <w:p>
            <w:r/>
            <w:r>
              <w:rPr>
                <w:rFonts w:ascii="Songti SC" w:hAnsi="Songti SC" w:eastAsia="Songti SC"/>
                <w:sz w:val="18"/>
              </w:rPr>
              <w:t>psyclaw-offline-0.21.0.tar.gz</w:t>
            </w:r>
          </w:p>
        </w:tc>
        <w:tc>
          <w:tcPr>
            <w:tcW w:type="dxa" w:w="4876"/>
          </w:tcPr>
          <w:p>
            <w:r/>
            <w:r>
              <w:rPr>
                <w:rFonts w:ascii="Songti SC" w:hAnsi="Songti SC" w:eastAsia="Songti SC"/>
                <w:sz w:val="18"/>
              </w:rPr>
              <w:t>完全无网:依赖全部打包,解压即装</w:t>
            </w:r>
          </w:p>
        </w:tc>
      </w:tr>
    </w:tbl>
    <w:p>
      <w:pPr>
        <w:spacing w:after="80"/>
      </w:pPr>
    </w:p>
    <w:p>
      <w:pPr>
        <w:spacing w:after="120" w:line="360" w:lineRule="auto"/>
      </w:pPr>
      <w:r>
        <w:rPr>
          <w:rFonts w:ascii="Songti SC" w:hAnsi="Songti SC" w:eastAsia="Songti SC"/>
          <w:b w:val="0"/>
          <w:i w:val="0"/>
          <w:sz w:val="21"/>
        </w:rPr>
        <w:t>全离线整包使用方式:拷贝至目标机器,解压后执行其中的 install.sh。目标机器仅需具备 Python 3.11 及以上版本。</w:t>
      </w:r>
    </w:p>
    <w:p>
      <w:pPr>
        <w:pStyle w:val="Heading2"/>
        <w:spacing w:before="240" w:after="160"/>
      </w:pPr>
      <w:r>
        <w:rPr>
          <w:rFonts w:ascii="Heiti SC" w:hAnsi="Heiti SC" w:eastAsia="Heiti SC"/>
          <w:b/>
          <w:color w:val="1A1A1A"/>
          <w:sz w:val="28"/>
        </w:rPr>
        <w:t>1.4　首次配置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66"/>
      </w:tblGrid>
      <w:tr>
        <w:tc>
          <w:tcPr>
            <w:tcW w:type="dxa" w:w="9066"/>
            <w:shd w:val="clear" w:fill="F2F2F2"/>
          </w:tcPr>
          <w:p>
            <w:pPr>
              <w:spacing w:after="0" w:line="276" w:lineRule="auto"/>
            </w:pPr>
            <w:r/>
            <w:r>
              <w:rPr>
                <w:rFonts w:ascii="Menlo" w:hAnsi="Menlo"/>
                <w:color w:val="444444"/>
                <w:sz w:val="18"/>
              </w:rPr>
              <w:t>psyclaw setup</w:t>
            </w:r>
          </w:p>
        </w:tc>
      </w:tr>
    </w:tbl>
    <w:p>
      <w:pPr>
        <w:spacing w:after="80"/>
      </w:pPr>
    </w:p>
    <w:p>
      <w:pPr>
        <w:spacing w:after="120" w:line="360" w:lineRule="auto"/>
      </w:pPr>
      <w:r>
        <w:rPr>
          <w:rFonts w:ascii="Songti SC" w:hAnsi="Songti SC" w:eastAsia="Songti SC"/>
          <w:b w:val="0"/>
          <w:i w:val="0"/>
          <w:sz w:val="21"/>
        </w:rPr>
        <w:t>该命令引导完成功能板块选择、模型服务(provider)与密钥配置。配置一次即可,后续所有项目通用。</w:t>
      </w:r>
    </w:p>
    <w:p>
      <w:pPr>
        <w:pStyle w:val="Heading2"/>
        <w:spacing w:before="240" w:after="160"/>
      </w:pPr>
      <w:r>
        <w:rPr>
          <w:rFonts w:ascii="Heiti SC" w:hAnsi="Heiti SC" w:eastAsia="Heiti SC"/>
          <w:b/>
          <w:color w:val="1A1A1A"/>
          <w:sz w:val="28"/>
        </w:rPr>
        <w:t>1.5　四个入口</w:t>
      </w:r>
    </w:p>
    <w:p>
      <w:pPr>
        <w:spacing w:after="120" w:line="360" w:lineRule="auto"/>
      </w:pPr>
      <w:r>
        <w:rPr>
          <w:rFonts w:ascii="Songti SC" w:hAnsi="Songti SC" w:eastAsia="Songti SC"/>
          <w:b w:val="0"/>
          <w:i w:val="0"/>
          <w:sz w:val="21"/>
        </w:rPr>
        <w:t>日常使用涉及以下四个入口。进入后即以自然语言交互。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2608"/>
            <w:shd w:val="clear" w:fill="E8EDF3"/>
          </w:tcPr>
          <w:p>
            <w:r/>
            <w:r>
              <w:rPr>
                <w:rFonts w:ascii="Heiti SC" w:hAnsi="Heiti SC" w:eastAsia="Heiti SC"/>
                <w:b/>
                <w:sz w:val="19"/>
              </w:rPr>
              <w:t>入口</w:t>
            </w:r>
          </w:p>
        </w:tc>
        <w:tc>
          <w:tcPr>
            <w:tcW w:type="dxa" w:w="6009"/>
            <w:shd w:val="clear" w:fill="E8EDF3"/>
          </w:tcPr>
          <w:p>
            <w:r/>
            <w:r>
              <w:rPr>
                <w:rFonts w:ascii="Heiti SC" w:hAnsi="Heiti SC" w:eastAsia="Heiti SC"/>
                <w:b/>
                <w:sz w:val="19"/>
              </w:rPr>
              <w:t>什么时候用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Songti SC" w:hAnsi="Songti SC" w:eastAsia="Songti SC"/>
                <w:sz w:val="18"/>
              </w:rPr>
              <w:t>psyclaw</w:t>
            </w:r>
          </w:p>
        </w:tc>
        <w:tc>
          <w:tcPr>
            <w:tcW w:type="dxa" w:w="6009"/>
          </w:tcPr>
          <w:p>
            <w:r/>
            <w:r>
              <w:rPr>
                <w:rFonts w:ascii="Songti SC" w:hAnsi="Songti SC" w:eastAsia="Songti SC"/>
                <w:sz w:val="18"/>
              </w:rPr>
              <w:t>最常用。直接进入对话。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Songti SC" w:hAnsi="Songti SC" w:eastAsia="Songti SC"/>
                <w:sz w:val="18"/>
              </w:rPr>
              <w:t>psyclaw new 研究名</w:t>
            </w:r>
          </w:p>
        </w:tc>
        <w:tc>
          <w:tcPr>
            <w:tcW w:type="dxa" w:w="6009"/>
          </w:tcPr>
          <w:p>
            <w:r/>
            <w:r>
              <w:rPr>
                <w:rFonts w:ascii="Songti SC" w:hAnsi="Songti SC" w:eastAsia="Songti SC"/>
                <w:sz w:val="18"/>
              </w:rPr>
              <w:t>新建研究。将建立独立目录,其目标与进度同其他研究相互隔离。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Songti SC" w:hAnsi="Songti SC" w:eastAsia="Songti SC"/>
                <w:sz w:val="18"/>
              </w:rPr>
              <w:t>psyclaw resume</w:t>
            </w:r>
          </w:p>
        </w:tc>
        <w:tc>
          <w:tcPr>
            <w:tcW w:type="dxa" w:w="6009"/>
          </w:tcPr>
          <w:p>
            <w:r/>
            <w:r>
              <w:rPr>
                <w:rFonts w:ascii="Songti SC" w:hAnsi="Songti SC" w:eastAsia="Songti SC"/>
                <w:sz w:val="18"/>
              </w:rPr>
              <w:t>续接历史会话。不带参数时续接最近一次。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Songti SC" w:hAnsi="Songti SC" w:eastAsia="Songti SC"/>
                <w:sz w:val="18"/>
              </w:rPr>
              <w:t>psyclaw status</w:t>
            </w:r>
          </w:p>
        </w:tc>
        <w:tc>
          <w:tcPr>
            <w:tcW w:type="dxa" w:w="6009"/>
          </w:tcPr>
          <w:p>
            <w:r/>
            <w:r>
              <w:rPr>
                <w:rFonts w:ascii="Songti SC" w:hAnsi="Songti SC" w:eastAsia="Songti SC"/>
                <w:sz w:val="18"/>
              </w:rPr>
              <w:t>查看当前研究进度:目标、待办事项、最近产出与后续建议。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66"/>
      </w:tblGrid>
      <w:tr>
        <w:tc>
          <w:tcPr>
            <w:tcW w:type="dxa" w:w="9066"/>
            <w:shd w:val="clear" w:fill="EAF5EE"/>
          </w:tcPr>
          <w:p>
            <w:pPr>
              <w:spacing w:after="40"/>
            </w:pPr>
            <w:r/>
            <w:r>
              <w:rPr>
                <w:rFonts w:ascii="Heiti SC" w:hAnsi="Heiti SC" w:eastAsia="Heiti SC"/>
                <w:b/>
                <w:color w:val="1E6B3A"/>
                <w:sz w:val="20"/>
              </w:rPr>
              <w:t>实用建议</w:t>
            </w:r>
          </w:p>
          <w:p>
            <w:pPr>
              <w:spacing w:after="20"/>
            </w:pPr>
            <w:r>
              <w:rPr>
                <w:rFonts w:ascii="Songti SC" w:hAnsi="Songti SC" w:eastAsia="Songti SC"/>
                <w:sz w:val="19"/>
              </w:rPr>
              <w:t>建议每项研究单独使用 psyclaw new 建立目录。</w:t>
            </w:r>
          </w:p>
          <w:p>
            <w:pPr>
              <w:spacing w:after="20"/>
            </w:pPr>
            <w:r>
              <w:rPr>
                <w:rFonts w:ascii="Songti SC" w:hAnsi="Songti SC" w:eastAsia="Songti SC"/>
                <w:sz w:val="19"/>
              </w:rPr>
              <w:t>系统将独立记录该研究的目标与进度,不会混入其他课题的上下文。</w:t>
            </w:r>
          </w:p>
        </w:tc>
      </w:tr>
    </w:tbl>
    <w:p>
      <w:pPr>
        <w:spacing w:after="80"/>
      </w:pPr>
    </w:p>
    <w:p>
      <w:pPr>
        <w:pStyle w:val="Heading2"/>
        <w:spacing w:before="240" w:after="160"/>
      </w:pPr>
      <w:r>
        <w:rPr>
          <w:rFonts w:ascii="Heiti SC" w:hAnsi="Heiti SC" w:eastAsia="Heiti SC"/>
          <w:b/>
          <w:color w:val="1A1A1A"/>
          <w:sz w:val="28"/>
        </w:rPr>
        <w:t>1.6　使用须知</w:t>
      </w:r>
    </w:p>
    <w:p>
      <w:pPr>
        <w:spacing w:after="120" w:line="360" w:lineRule="auto"/>
      </w:pPr>
      <w:r>
        <w:rPr>
          <w:rFonts w:ascii="Songti SC" w:hAnsi="Songti SC" w:eastAsia="Songti SC"/>
          <w:b w:val="0"/>
          <w:i w:val="0"/>
          <w:sz w:val="21"/>
        </w:rPr>
        <w:t>第一,表述不必精确。信息不足时系统会主动询问,而非擅自假设。</w:t>
      </w:r>
    </w:p>
    <w:p>
      <w:pPr>
        <w:spacing w:after="120" w:line="360" w:lineRule="auto"/>
      </w:pPr>
      <w:r>
        <w:rPr>
          <w:rFonts w:ascii="Songti SC" w:hAnsi="Songti SC" w:eastAsia="Songti SC"/>
          <w:b w:val="0"/>
          <w:i w:val="0"/>
          <w:sz w:val="21"/>
        </w:rPr>
        <w:t>第二,涉及变更的操作均先征求同意。写入文件、下载全文、写入 Zotero 文库、打开浏览器等操作均会事先询问;同类操作经一次同意后,本次会话内可自动放行。</w:t>
      </w:r>
    </w:p>
    <w:p>
      <w:pPr>
        <w:spacing w:after="120" w:line="360" w:lineRule="auto"/>
      </w:pPr>
      <w:r>
        <w:rPr>
          <w:rFonts w:ascii="Songti SC" w:hAnsi="Songti SC" w:eastAsia="Songti SC"/>
          <w:b w:val="0"/>
          <w:i w:val="0"/>
          <w:sz w:val="21"/>
        </w:rPr>
        <w:t>第三,产物存放位置固定:成稿位于 outputs/,图表位于 figures/,脚本位于 scripts/,笔记位于 notes/。原始数据目录 data/ 仅读取,不写入。</w:t>
      </w:r>
    </w:p>
    <w:p>
      <w:pPr>
        <w:pStyle w:val="Heading2"/>
        <w:spacing w:before="240" w:after="160"/>
      </w:pPr>
      <w:r>
        <w:rPr>
          <w:rFonts w:ascii="Heiti SC" w:hAnsi="Heiti SC" w:eastAsia="Heiti SC"/>
          <w:b/>
          <w:color w:val="1A1A1A"/>
          <w:sz w:val="28"/>
        </w:rPr>
        <w:t>1.7　权限与审批档位</w:t>
      </w:r>
    </w:p>
    <w:p>
      <w:pPr>
        <w:spacing w:after="120" w:line="360" w:lineRule="auto"/>
      </w:pPr>
      <w:r>
        <w:rPr>
          <w:rFonts w:ascii="Songti SC" w:hAnsi="Songti SC" w:eastAsia="Songti SC"/>
          <w:b w:val="0"/>
          <w:i w:val="0"/>
          <w:sz w:val="21"/>
        </w:rPr>
        <w:t>PsyClaw 在两个维度上控制它能做什么:操作审批与文件访问。两者均可随时在对话中切换,切换后立即生效。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1928"/>
            <w:shd w:val="clear" w:fill="E8EDF3"/>
          </w:tcPr>
          <w:p>
            <w:r/>
            <w:r>
              <w:rPr>
                <w:rFonts w:ascii="Heiti SC" w:hAnsi="Heiti SC" w:eastAsia="Heiti SC"/>
                <w:b/>
                <w:sz w:val="19"/>
              </w:rPr>
              <w:t>档位</w:t>
            </w:r>
          </w:p>
        </w:tc>
        <w:tc>
          <w:tcPr>
            <w:tcW w:type="dxa" w:w="2041"/>
            <w:shd w:val="clear" w:fill="E8EDF3"/>
          </w:tcPr>
          <w:p>
            <w:r/>
            <w:r>
              <w:rPr>
                <w:rFonts w:ascii="Heiti SC" w:hAnsi="Heiti SC" w:eastAsia="Heiti SC"/>
                <w:b/>
                <w:sz w:val="19"/>
              </w:rPr>
              <w:t>切换方式</w:t>
            </w:r>
          </w:p>
        </w:tc>
        <w:tc>
          <w:tcPr>
            <w:tcW w:type="dxa" w:w="4535"/>
            <w:shd w:val="clear" w:fill="E8EDF3"/>
          </w:tcPr>
          <w:p>
            <w:r/>
            <w:r>
              <w:rPr>
                <w:rFonts w:ascii="Heiti SC" w:hAnsi="Heiti SC" w:eastAsia="Heiti SC"/>
                <w:b/>
                <w:sz w:val="19"/>
              </w:rPr>
              <w:t>含义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Songti SC" w:hAnsi="Songti SC" w:eastAsia="Songti SC"/>
                <w:sz w:val="18"/>
              </w:rPr>
              <w:t>审批 ask(默认)</w:t>
            </w:r>
          </w:p>
        </w:tc>
        <w:tc>
          <w:tcPr>
            <w:tcW w:type="dxa" w:w="2041"/>
          </w:tcPr>
          <w:p>
            <w:r/>
            <w:r>
              <w:rPr>
                <w:rFonts w:ascii="Songti SC" w:hAnsi="Songti SC" w:eastAsia="Songti SC"/>
                <w:sz w:val="18"/>
              </w:rPr>
              <w:t>/approval ask</w:t>
            </w:r>
          </w:p>
        </w:tc>
        <w:tc>
          <w:tcPr>
            <w:tcW w:type="dxa" w:w="4535"/>
          </w:tcPr>
          <w:p>
            <w:r/>
            <w:r>
              <w:rPr>
                <w:rFonts w:ascii="Songti SC" w:hAnsi="Songti SC" w:eastAsia="Songti SC"/>
                <w:sz w:val="18"/>
              </w:rPr>
              <w:t>命令执行、文件覆盖、工具副作用逐条征求同意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Songti SC" w:hAnsi="Songti SC" w:eastAsia="Songti SC"/>
                <w:sz w:val="18"/>
              </w:rPr>
              <w:t>审批 auto</w:t>
            </w:r>
          </w:p>
        </w:tc>
        <w:tc>
          <w:tcPr>
            <w:tcW w:type="dxa" w:w="2041"/>
          </w:tcPr>
          <w:p>
            <w:r/>
            <w:r>
              <w:rPr>
                <w:rFonts w:ascii="Songti SC" w:hAnsi="Songti SC" w:eastAsia="Songti SC"/>
                <w:sz w:val="18"/>
              </w:rPr>
              <w:t>/approval auto 或 /yolo</w:t>
            </w:r>
          </w:p>
        </w:tc>
        <w:tc>
          <w:tcPr>
            <w:tcW w:type="dxa" w:w="4535"/>
          </w:tcPr>
          <w:p>
            <w:r/>
            <w:r>
              <w:rPr>
                <w:rFonts w:ascii="Songti SC" w:hAnsi="Songti SC" w:eastAsia="Songti SC"/>
                <w:sz w:val="18"/>
              </w:rPr>
              <w:t>上述操作自动放行;仅命中红线的危险命令仍会询问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Songti SC" w:hAnsi="Songti SC" w:eastAsia="Songti SC"/>
                <w:sz w:val="18"/>
              </w:rPr>
              <w:t>访问 open(默认)</w:t>
            </w:r>
          </w:p>
        </w:tc>
        <w:tc>
          <w:tcPr>
            <w:tcW w:type="dxa" w:w="2041"/>
          </w:tcPr>
          <w:p>
            <w:r/>
            <w:r>
              <w:rPr>
                <w:rFonts w:ascii="Songti SC" w:hAnsi="Songti SC" w:eastAsia="Songti SC"/>
                <w:sz w:val="18"/>
              </w:rPr>
              <w:t>/access open</w:t>
            </w:r>
          </w:p>
        </w:tc>
        <w:tc>
          <w:tcPr>
            <w:tcW w:type="dxa" w:w="4535"/>
          </w:tcPr>
          <w:p>
            <w:r/>
            <w:r>
              <w:rPr>
                <w:rFonts w:ascii="Songti SC" w:hAnsi="Songti SC" w:eastAsia="Songti SC"/>
                <w:sz w:val="18"/>
              </w:rPr>
              <w:t>允许系统按需读取项目内文件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Songti SC" w:hAnsi="Songti SC" w:eastAsia="Songti SC"/>
                <w:sz w:val="18"/>
              </w:rPr>
              <w:t>访问 safe</w:t>
            </w:r>
          </w:p>
        </w:tc>
        <w:tc>
          <w:tcPr>
            <w:tcW w:type="dxa" w:w="2041"/>
          </w:tcPr>
          <w:p>
            <w:r/>
            <w:r>
              <w:rPr>
                <w:rFonts w:ascii="Songti SC" w:hAnsi="Songti SC" w:eastAsia="Songti SC"/>
                <w:sz w:val="18"/>
              </w:rPr>
              <w:t>/access safe</w:t>
            </w:r>
          </w:p>
        </w:tc>
        <w:tc>
          <w:tcPr>
            <w:tcW w:type="dxa" w:w="4535"/>
          </w:tcPr>
          <w:p>
            <w:r/>
            <w:r>
              <w:rPr>
                <w:rFonts w:ascii="Songti SC" w:hAnsi="Songti SC" w:eastAsia="Songti SC"/>
                <w:sz w:val="18"/>
              </w:rPr>
              <w:t>一切读取须由研究者以 @ 显式引用,系统不自行读取</w:t>
            </w:r>
          </w:p>
        </w:tc>
      </w:tr>
    </w:tbl>
    <w:p>
      <w:pPr>
        <w:spacing w:after="80"/>
      </w:pPr>
    </w:p>
    <w:p>
      <w:pPr>
        <w:spacing w:after="120" w:line="360" w:lineRule="auto"/>
      </w:pPr>
      <w:r>
        <w:rPr>
          <w:rFonts w:ascii="Songti SC" w:hAnsi="Songti SC" w:eastAsia="Songti SC"/>
          <w:b w:val="0"/>
          <w:i w:val="0"/>
          <w:sz w:val="21"/>
        </w:rPr>
        <w:t>红线始终有效:删除类命令、强制推送、数据库删表等危险操作,无论处于何种档位都会要求确认。原始数据目录 data/ 在任何档位下均只读。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66"/>
      </w:tblGrid>
      <w:tr>
        <w:tc>
          <w:tcPr>
            <w:tcW w:type="dxa" w:w="9066"/>
            <w:shd w:val="clear" w:fill="EAF5EE"/>
          </w:tcPr>
          <w:p>
            <w:pPr>
              <w:spacing w:after="40"/>
            </w:pPr>
            <w:r/>
            <w:r>
              <w:rPr>
                <w:rFonts w:ascii="Heiti SC" w:hAnsi="Heiti SC" w:eastAsia="Heiti SC"/>
                <w:b/>
                <w:color w:val="1E6B3A"/>
                <w:sz w:val="20"/>
              </w:rPr>
              <w:t>档位选择建议</w:t>
            </w:r>
          </w:p>
          <w:p>
            <w:pPr>
              <w:spacing w:after="20"/>
            </w:pPr>
            <w:r>
              <w:rPr>
                <w:rFonts w:ascii="Songti SC" w:hAnsi="Songti SC" w:eastAsia="Songti SC"/>
                <w:sz w:val="19"/>
              </w:rPr>
              <w:t>初次使用或处理重要数据时,保持默认的 ask + open。</w:t>
            </w:r>
          </w:p>
          <w:p>
            <w:pPr>
              <w:spacing w:after="20"/>
            </w:pPr>
            <w:r>
              <w:rPr>
                <w:rFonts w:ascii="Songti SC" w:hAnsi="Songti SC" w:eastAsia="Songti SC"/>
                <w:sz w:val="19"/>
              </w:rPr>
              <w:t>批量重复性工作(如逐篇下载、批量导出)可临时切到 auto 提高效率,</w:t>
            </w:r>
          </w:p>
          <w:p>
            <w:pPr>
              <w:spacing w:after="20"/>
            </w:pPr>
            <w:r>
              <w:rPr>
                <w:rFonts w:ascii="Songti SC" w:hAnsi="Songti SC" w:eastAsia="Songti SC"/>
                <w:sz w:val="19"/>
              </w:rPr>
              <w:t>完成后切回。涉及未公开数据的分析,建议使用 safe 访问档位。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spacing w:before="360" w:after="160"/>
      </w:pPr>
      <w:r>
        <w:rPr>
          <w:rFonts w:ascii="Heiti SC" w:hAnsi="Heiti SC" w:eastAsia="Heiti SC"/>
          <w:b/>
          <w:color w:val="1A1A1A"/>
          <w:sz w:val="36"/>
        </w:rPr>
        <w:t>第二章　文献检索与全文获取</w:t>
      </w:r>
    </w:p>
    <w:p>
      <w:pPr>
        <w:spacing w:after="120" w:line="360" w:lineRule="auto"/>
      </w:pPr>
      <w:r>
        <w:rPr>
          <w:rFonts w:ascii="Songti SC" w:hAnsi="Songti SC" w:eastAsia="Songti SC"/>
          <w:b w:val="0"/>
          <w:i w:val="0"/>
          <w:sz w:val="21"/>
        </w:rPr>
        <w:t>文献是 AI 辅助研究中最易出现学术事故的环节。真正的风险不在于检索失败,而在于获得一份格式规范却并不存在的书目。本章所述流程,每一步均可核验。</w:t>
      </w:r>
    </w:p>
    <w:p>
      <w:pPr>
        <w:pStyle w:val="Heading2"/>
        <w:spacing w:before="240" w:after="160"/>
      </w:pPr>
      <w:r>
        <w:rPr>
          <w:rFonts w:ascii="Heiti SC" w:hAnsi="Heiti SC" w:eastAsia="Heiti SC"/>
          <w:b/>
          <w:color w:val="1A1A1A"/>
          <w:sz w:val="28"/>
        </w:rPr>
        <w:t>2.1　文献检索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66"/>
      </w:tblGrid>
      <w:tr>
        <w:tc>
          <w:tcPr>
            <w:tcW w:type="dxa" w:w="9066"/>
            <w:shd w:val="clear" w:fill="EAF1F8"/>
          </w:tcPr>
          <w:p>
            <w:pPr>
              <w:spacing w:after="40"/>
            </w:pPr>
            <w:r/>
            <w:r>
              <w:rPr>
                <w:rFonts w:ascii="Heiti SC" w:hAnsi="Heiti SC" w:eastAsia="Heiti SC"/>
                <w:b/>
                <w:color w:val="1F4E79"/>
                <w:sz w:val="20"/>
              </w:rPr>
              <w:t>对话示例</w:t>
            </w:r>
          </w:p>
          <w:p>
            <w:pPr>
              <w:spacing w:after="20"/>
            </w:pPr>
            <w:r>
              <w:rPr>
                <w:rFonts w:ascii="Songti SC" w:hAnsi="Songti SC" w:eastAsia="Songti SC"/>
                <w:sz w:val="19"/>
              </w:rPr>
              <w:t>「帮我找工作倦怠与离职意向近三年的研究,英文的,15 篇左右」</w:t>
            </w:r>
          </w:p>
          <w:p>
            <w:pPr>
              <w:spacing w:after="20"/>
            </w:pPr>
            <w:r>
              <w:rPr>
                <w:rFonts w:ascii="Songti SC" w:hAnsi="Songti SC" w:eastAsia="Songti SC"/>
                <w:sz w:val="19"/>
              </w:rPr>
              <w:t>「再找找中文文献,心理学报和心理科学上的」</w:t>
            </w:r>
          </w:p>
          <w:p>
            <w:pPr>
              <w:spacing w:after="20"/>
            </w:pPr>
            <w:r>
              <w:rPr>
                <w:rFonts w:ascii="Songti SC" w:hAnsi="Songti SC" w:eastAsia="Songti SC"/>
                <w:sz w:val="19"/>
              </w:rPr>
              <w:t>「这些太老了,只要 2024 年之后的」</w:t>
            </w:r>
          </w:p>
        </w:tc>
      </w:tr>
    </w:tbl>
    <w:p>
      <w:pPr>
        <w:spacing w:after="80"/>
      </w:pPr>
    </w:p>
    <w:p>
      <w:pPr>
        <w:spacing w:after="120" w:line="360" w:lineRule="auto"/>
      </w:pPr>
      <w:r>
        <w:rPr>
          <w:rFonts w:ascii="Songti SC" w:hAnsi="Songti SC" w:eastAsia="Songti SC"/>
          <w:b w:val="0"/>
          <w:i w:val="0"/>
          <w:sz w:val="21"/>
        </w:rPr>
        <w:t>系统将同时检索多个学术数据库(OpenAlex、Crossref、EuropePMC 等),去重后一并给出题录、年份、被引次数与 DOI。「近三年」以实际当前年份计算。</w:t>
      </w:r>
    </w:p>
    <w:p>
      <w:pPr>
        <w:spacing w:after="120" w:line="360" w:lineRule="auto"/>
      </w:pPr>
      <w:r>
        <w:rPr>
          <w:rFonts w:ascii="Songti SC" w:hAnsi="Songti SC" w:eastAsia="Songti SC"/>
          <w:b w:val="0"/>
          <w:i w:val="0"/>
          <w:sz w:val="21"/>
        </w:rPr>
        <w:t>撰写综述时,沿引用网络检索更为有效: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66"/>
      </w:tblGrid>
      <w:tr>
        <w:tc>
          <w:tcPr>
            <w:tcW w:type="dxa" w:w="9066"/>
            <w:shd w:val="clear" w:fill="EAF1F8"/>
          </w:tcPr>
          <w:p>
            <w:pPr>
              <w:spacing w:after="40"/>
            </w:pPr>
            <w:r/>
            <w:r>
              <w:rPr>
                <w:rFonts w:ascii="Heiti SC" w:hAnsi="Heiti SC" w:eastAsia="Heiti SC"/>
                <w:b/>
                <w:color w:val="1F4E79"/>
                <w:sz w:val="20"/>
              </w:rPr>
              <w:t>对话示例</w:t>
            </w:r>
          </w:p>
          <w:p>
            <w:pPr>
              <w:spacing w:after="20"/>
            </w:pPr>
            <w:r>
              <w:rPr>
                <w:rFonts w:ascii="Songti SC" w:hAnsi="Songti SC" w:eastAsia="Songti SC"/>
                <w:sz w:val="19"/>
              </w:rPr>
              <w:t>「这篇很关键,帮我找找引用了它的后续研究」</w:t>
            </w:r>
          </w:p>
          <w:p>
            <w:pPr>
              <w:spacing w:after="20"/>
            </w:pPr>
            <w:r>
              <w:rPr>
                <w:rFonts w:ascii="Songti SC" w:hAnsi="Songti SC" w:eastAsia="Songti SC"/>
                <w:sz w:val="19"/>
              </w:rPr>
              <w:t>「顺着这篇的参考文献往回找源头」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66"/>
      </w:tblGrid>
      <w:tr>
        <w:tc>
          <w:tcPr>
            <w:tcW w:type="dxa" w:w="9066"/>
            <w:shd w:val="clear" w:fill="EAF5EE"/>
          </w:tcPr>
          <w:p>
            <w:pPr>
              <w:spacing w:after="40"/>
            </w:pPr>
            <w:r/>
            <w:r>
              <w:rPr>
                <w:rFonts w:ascii="Heiti SC" w:hAnsi="Heiti SC" w:eastAsia="Heiti SC"/>
                <w:b/>
                <w:color w:val="1E6B3A"/>
                <w:sz w:val="20"/>
              </w:rPr>
              <w:t>实用建议</w:t>
            </w:r>
          </w:p>
          <w:p>
            <w:pPr>
              <w:spacing w:after="20"/>
            </w:pPr>
            <w:r>
              <w:rPr>
                <w:rFonts w:ascii="Songti SC" w:hAnsi="Songti SC" w:eastAsia="Songti SC"/>
                <w:sz w:val="19"/>
              </w:rPr>
              <w:t>关键词检索易遗漏措辞不同的重要文献;以公认的经典文献为起点前后追溯,</w:t>
            </w:r>
          </w:p>
          <w:p>
            <w:pPr>
              <w:spacing w:after="20"/>
            </w:pPr>
            <w:r>
              <w:rPr>
                <w:rFonts w:ascii="Songti SC" w:hAnsi="Songti SC" w:eastAsia="Songti SC"/>
                <w:sz w:val="19"/>
              </w:rPr>
              <w:t>是更稳妥的综述路径。研究者只需指定种子文献。</w:t>
            </w:r>
          </w:p>
        </w:tc>
      </w:tr>
    </w:tbl>
    <w:p>
      <w:pPr>
        <w:spacing w:after="80"/>
      </w:pPr>
    </w:p>
    <w:p>
      <w:pPr>
        <w:pStyle w:val="Heading2"/>
        <w:spacing w:before="240" w:after="160"/>
      </w:pPr>
      <w:r>
        <w:rPr>
          <w:rFonts w:ascii="Heiti SC" w:hAnsi="Heiti SC" w:eastAsia="Heiti SC"/>
          <w:b/>
          <w:color w:val="1A1A1A"/>
          <w:sz w:val="28"/>
        </w:rPr>
        <w:t>2.2　全文获取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66"/>
      </w:tblGrid>
      <w:tr>
        <w:tc>
          <w:tcPr>
            <w:tcW w:type="dxa" w:w="9066"/>
            <w:shd w:val="clear" w:fill="EAF1F8"/>
          </w:tcPr>
          <w:p>
            <w:pPr>
              <w:spacing w:after="40"/>
            </w:pPr>
            <w:r/>
            <w:r>
              <w:rPr>
                <w:rFonts w:ascii="Heiti SC" w:hAnsi="Heiti SC" w:eastAsia="Heiti SC"/>
                <w:b/>
                <w:color w:val="1F4E79"/>
                <w:sz w:val="20"/>
              </w:rPr>
              <w:t>对话示例</w:t>
            </w:r>
          </w:p>
          <w:p>
            <w:pPr>
              <w:spacing w:after="20"/>
            </w:pPr>
            <w:r>
              <w:rPr>
                <w:rFonts w:ascii="Songti SC" w:hAnsi="Songti SC" w:eastAsia="Songti SC"/>
                <w:sz w:val="19"/>
              </w:rPr>
              <w:t>「把上面这几篇下载下来」</w:t>
            </w:r>
          </w:p>
          <w:p>
            <w:pPr>
              <w:spacing w:after="20"/>
            </w:pPr>
            <w:r>
              <w:rPr>
                <w:rFonts w:ascii="Songti SC" w:hAnsi="Songti SC" w:eastAsia="Songti SC"/>
                <w:sz w:val="19"/>
              </w:rPr>
              <w:t>「第 3 篇和第 7 篇下载一下」</w:t>
            </w:r>
          </w:p>
        </w:tc>
      </w:tr>
    </w:tbl>
    <w:p>
      <w:pPr>
        <w:spacing w:after="80"/>
      </w:pPr>
    </w:p>
    <w:p>
      <w:pPr>
        <w:spacing w:after="120" w:line="360" w:lineRule="auto"/>
      </w:pPr>
      <w:r>
        <w:rPr>
          <w:rFonts w:ascii="Songti SC" w:hAnsi="Songti SC" w:eastAsia="Songti SC"/>
          <w:b w:val="0"/>
          <w:i w:val="0"/>
          <w:sz w:val="21"/>
        </w:rPr>
        <w:t>开放获取文献将直接下载至 outputs/pdfs 目录。遇付费墙时,系统不会就此中止,而是引导使用研究者本人的机构权限获取:</w:t>
      </w:r>
    </w:p>
    <w:p>
      <w:pPr>
        <w:pStyle w:val="ListNumber"/>
        <w:spacing w:after="60" w:line="336" w:lineRule="auto"/>
      </w:pPr>
      <w:r>
        <w:rPr>
          <w:rFonts w:ascii="Songti SC" w:hAnsi="Songti SC" w:eastAsia="Songti SC"/>
          <w:sz w:val="21"/>
        </w:rPr>
        <w:t>系统打开所在机构的访问入口(校园网代理或 LibKey);</w:t>
      </w:r>
    </w:p>
    <w:p>
      <w:pPr>
        <w:pStyle w:val="ListNumber"/>
        <w:spacing w:after="60" w:line="336" w:lineRule="auto"/>
      </w:pPr>
      <w:r>
        <w:rPr>
          <w:rFonts w:ascii="Songti SC" w:hAnsi="Songti SC" w:eastAsia="Songti SC"/>
          <w:sz w:val="21"/>
        </w:rPr>
        <w:t>在浏览器中以机构账号登录——该步骤须由研究者本人完成,PsyClaw 不接触账号与密码;</w:t>
      </w:r>
    </w:p>
    <w:p>
      <w:pPr>
        <w:pStyle w:val="ListNumber"/>
        <w:spacing w:after="60" w:line="336" w:lineRule="auto"/>
      </w:pPr>
      <w:r>
        <w:rPr>
          <w:rFonts w:ascii="Songti SC" w:hAnsi="Songti SC" w:eastAsia="Songti SC"/>
          <w:sz w:val="21"/>
        </w:rPr>
        <w:t>点击页面上的下载按钮,保存至默认下载目录即可,无需另存至指定位置,亦无需重命名;</w:t>
      </w:r>
    </w:p>
    <w:p>
      <w:pPr>
        <w:pStyle w:val="ListNumber"/>
        <w:spacing w:after="60" w:line="336" w:lineRule="auto"/>
      </w:pPr>
      <w:r>
        <w:rPr>
          <w:rFonts w:ascii="Songti SC" w:hAnsi="Songti SC" w:eastAsia="Songti SC"/>
          <w:sz w:val="21"/>
        </w:rPr>
        <w:t>返回对话说明已下载完成,系统将自动将文件收入项目,并按「作者_年份_题名」重新命名。</w:t>
      </w:r>
    </w:p>
    <w:p>
      <w:pPr>
        <w:spacing w:after="120" w:line="360" w:lineRule="auto"/>
      </w:pPr>
      <w:r>
        <w:rPr>
          <w:rFonts w:ascii="Songti SC" w:hAnsi="Songti SC" w:eastAsia="Songti SC"/>
          <w:b w:val="0"/>
          <w:i w:val="0"/>
          <w:sz w:val="21"/>
        </w:rPr>
        <w:t>若已安装配套浏览器扩展,第 3 步亦可省去,系统将直接取回文件。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66"/>
      </w:tblGrid>
      <w:tr>
        <w:tc>
          <w:tcPr>
            <w:tcW w:type="dxa" w:w="9066"/>
            <w:shd w:val="clear" w:fill="FBF3E2"/>
          </w:tcPr>
          <w:p>
            <w:pPr>
              <w:spacing w:after="40"/>
            </w:pPr>
            <w:r/>
            <w:r>
              <w:rPr>
                <w:rFonts w:ascii="Heiti SC" w:hAnsi="Heiti SC" w:eastAsia="Heiti SC"/>
                <w:b/>
                <w:color w:val="8A5A00"/>
                <w:sz w:val="20"/>
              </w:rPr>
              <w:t>关于付费墙文献</w:t>
            </w:r>
          </w:p>
          <w:p>
            <w:pPr>
              <w:spacing w:after="20"/>
            </w:pPr>
            <w:r>
              <w:rPr>
                <w:rFonts w:ascii="Songti SC" w:hAnsi="Songti SC" w:eastAsia="Songti SC"/>
                <w:sz w:val="19"/>
              </w:rPr>
              <w:t>PsyClaw 不绕过任何付费墙,所使用的始终是研究者本人已有的机构权限。</w:t>
            </w:r>
          </w:p>
          <w:p>
            <w:pPr>
              <w:spacing w:after="20"/>
            </w:pPr>
            <w:r>
              <w:rPr>
                <w:rFonts w:ascii="Songti SC" w:hAnsi="Songti SC" w:eastAsia="Songti SC"/>
                <w:sz w:val="19"/>
              </w:rPr>
              <w:t>若所在单位未订阅该刊,系统将如实告知无法获取,不作其他尝试。</w:t>
            </w:r>
          </w:p>
        </w:tc>
      </w:tr>
    </w:tbl>
    <w:p>
      <w:pPr>
        <w:spacing w:after="80"/>
      </w:pPr>
    </w:p>
    <w:p>
      <w:pPr>
        <w:spacing w:after="120" w:line="360" w:lineRule="auto"/>
      </w:pPr>
      <w:r>
        <w:rPr>
          <w:rFonts w:ascii="Songti SC" w:hAnsi="Songti SC" w:eastAsia="Songti SC"/>
          <w:b w:val="0"/>
          <w:i w:val="0"/>
          <w:sz w:val="21"/>
        </w:rPr>
        <w:t>使用 Zotero 者,可先在本人文库中检索: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66"/>
      </w:tblGrid>
      <w:tr>
        <w:tc>
          <w:tcPr>
            <w:tcW w:type="dxa" w:w="9066"/>
            <w:shd w:val="clear" w:fill="EAF1F8"/>
          </w:tcPr>
          <w:p>
            <w:pPr>
              <w:spacing w:after="40"/>
            </w:pPr>
            <w:r/>
            <w:r>
              <w:rPr>
                <w:rFonts w:ascii="Heiti SC" w:hAnsi="Heiti SC" w:eastAsia="Heiti SC"/>
                <w:b/>
                <w:color w:val="1F4E79"/>
                <w:sz w:val="20"/>
              </w:rPr>
              <w:t>对话示例</w:t>
            </w:r>
          </w:p>
          <w:p>
            <w:pPr>
              <w:spacing w:after="20"/>
            </w:pPr>
            <w:r>
              <w:rPr>
                <w:rFonts w:ascii="Songti SC" w:hAnsi="Songti SC" w:eastAsia="Songti SC"/>
                <w:sz w:val="19"/>
              </w:rPr>
              <w:t>「先在我的 Zotero 里看看有没有这几篇」</w:t>
            </w:r>
          </w:p>
          <w:p>
            <w:pPr>
              <w:spacing w:after="20"/>
            </w:pPr>
            <w:r>
              <w:rPr>
                <w:rFonts w:ascii="Songti SC" w:hAnsi="Songti SC" w:eastAsia="Songti SC"/>
                <w:sz w:val="19"/>
              </w:rPr>
              <w:t>「把这篇加到我的 Zotero 文库」</w:t>
            </w:r>
          </w:p>
          <w:p>
            <w:pPr>
              <w:spacing w:after="20"/>
            </w:pPr>
            <w:r>
              <w:rPr>
                <w:rFonts w:ascii="Songti SC" w:hAnsi="Songti SC" w:eastAsia="Songti SC"/>
                <w:sz w:val="19"/>
              </w:rPr>
              <w:t>「这篇我库里有全文,读一下它的方法部分」</w:t>
            </w:r>
          </w:p>
        </w:tc>
      </w:tr>
    </w:tbl>
    <w:p>
      <w:pPr>
        <w:spacing w:after="80"/>
      </w:pPr>
    </w:p>
    <w:p>
      <w:pPr>
        <w:pStyle w:val="Heading2"/>
        <w:spacing w:before="240" w:after="160"/>
      </w:pPr>
      <w:r>
        <w:rPr>
          <w:rFonts w:ascii="Heiti SC" w:hAnsi="Heiti SC" w:eastAsia="Heiti SC"/>
          <w:b/>
          <w:color w:val="1A1A1A"/>
          <w:sz w:val="28"/>
        </w:rPr>
        <w:t>2.3　引用真实性核查</w:t>
      </w:r>
    </w:p>
    <w:p>
      <w:pPr>
        <w:spacing w:after="120" w:line="360" w:lineRule="auto"/>
      </w:pPr>
      <w:r>
        <w:rPr>
          <w:rFonts w:ascii="Songti SC" w:hAnsi="Songti SC" w:eastAsia="Songti SC"/>
          <w:b w:val="0"/>
          <w:i w:val="0"/>
          <w:sz w:val="21"/>
        </w:rPr>
        <w:t>该步骤应在交稿前执行: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66"/>
      </w:tblGrid>
      <w:tr>
        <w:tc>
          <w:tcPr>
            <w:tcW w:type="dxa" w:w="9066"/>
            <w:shd w:val="clear" w:fill="EAF1F8"/>
          </w:tcPr>
          <w:p>
            <w:pPr>
              <w:spacing w:after="40"/>
            </w:pPr>
            <w:r/>
            <w:r>
              <w:rPr>
                <w:rFonts w:ascii="Heiti SC" w:hAnsi="Heiti SC" w:eastAsia="Heiti SC"/>
                <w:b/>
                <w:color w:val="1F4E79"/>
                <w:sz w:val="20"/>
              </w:rPr>
              <w:t>对话示例</w:t>
            </w:r>
          </w:p>
          <w:p>
            <w:pPr>
              <w:spacing w:after="20"/>
            </w:pPr>
            <w:r>
              <w:rPr>
                <w:rFonts w:ascii="Songti SC" w:hAnsi="Songti SC" w:eastAsia="Songti SC"/>
                <w:sz w:val="19"/>
              </w:rPr>
              <w:t>「帮我核一下这份稿子里的参考文献,是不是每条都真实存在」</w:t>
            </w:r>
          </w:p>
        </w:tc>
      </w:tr>
    </w:tbl>
    <w:p>
      <w:pPr>
        <w:spacing w:after="80"/>
      </w:pPr>
    </w:p>
    <w:p>
      <w:pPr>
        <w:spacing w:after="120" w:line="360" w:lineRule="auto"/>
      </w:pPr>
      <w:r>
        <w:rPr>
          <w:rFonts w:ascii="Songti SC" w:hAnsi="Songti SC" w:eastAsia="Songti SC"/>
          <w:b w:val="0"/>
          <w:i w:val="0"/>
          <w:sz w:val="21"/>
        </w:rPr>
        <w:t>系统将稿件中每条参考文献送至学术数据库逐条查证,并严格区分以下三种结果: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1814"/>
            <w:shd w:val="clear" w:fill="E8EDF3"/>
          </w:tcPr>
          <w:p>
            <w:r/>
            <w:r>
              <w:rPr>
                <w:rFonts w:ascii="Heiti SC" w:hAnsi="Heiti SC" w:eastAsia="Heiti SC"/>
                <w:b/>
                <w:sz w:val="19"/>
              </w:rPr>
              <w:t>结果</w:t>
            </w:r>
          </w:p>
        </w:tc>
        <w:tc>
          <w:tcPr>
            <w:tcW w:type="dxa" w:w="6463"/>
            <w:shd w:val="clear" w:fill="E8EDF3"/>
          </w:tcPr>
          <w:p>
            <w:r/>
            <w:r>
              <w:rPr>
                <w:rFonts w:ascii="Heiti SC" w:hAnsi="Heiti SC" w:eastAsia="Heiti SC"/>
                <w:b/>
                <w:sz w:val="19"/>
              </w:rPr>
              <w:t>含义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Songti SC" w:hAnsi="Songti SC" w:eastAsia="Songti SC"/>
                <w:sz w:val="18"/>
              </w:rPr>
              <w:t>查到了</w:t>
            </w:r>
          </w:p>
        </w:tc>
        <w:tc>
          <w:tcPr>
            <w:tcW w:type="dxa" w:w="6463"/>
          </w:tcPr>
          <w:p>
            <w:r/>
            <w:r>
              <w:rPr>
                <w:rFonts w:ascii="Songti SC" w:hAnsi="Songti SC" w:eastAsia="Songti SC"/>
                <w:sz w:val="18"/>
              </w:rPr>
              <w:t>该文献真实存在,作者与年份都对得上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Songti SC" w:hAnsi="Songti SC" w:eastAsia="Songti SC"/>
                <w:sz w:val="18"/>
              </w:rPr>
              <w:t>查无此文</w:t>
            </w:r>
          </w:p>
        </w:tc>
        <w:tc>
          <w:tcPr>
            <w:tcW w:type="dxa" w:w="6463"/>
          </w:tcPr>
          <w:p>
            <w:r/>
            <w:r>
              <w:rPr>
                <w:rFonts w:ascii="Songti SC" w:hAnsi="Songti SC" w:eastAsia="Songti SC"/>
                <w:sz w:val="18"/>
              </w:rPr>
              <w:t>疑似杜撰或著录有误,将明确标出待处理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Songti SC" w:hAnsi="Songti SC" w:eastAsia="Songti SC"/>
                <w:sz w:val="18"/>
              </w:rPr>
              <w:t>无法查证</w:t>
            </w:r>
          </w:p>
        </w:tc>
        <w:tc>
          <w:tcPr>
            <w:tcW w:type="dxa" w:w="6463"/>
          </w:tcPr>
          <w:p>
            <w:r/>
            <w:r>
              <w:rPr>
                <w:rFonts w:ascii="Songti SC" w:hAnsi="Songti SC" w:eastAsia="Songti SC"/>
                <w:sz w:val="18"/>
              </w:rPr>
              <w:t>网络不通,或该类文献本就不被数据库收录(如中文专著、内部报告)——只提示,不当作杜撰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66"/>
      </w:tblGrid>
      <w:tr>
        <w:tc>
          <w:tcPr>
            <w:tcW w:type="dxa" w:w="9066"/>
            <w:shd w:val="clear" w:fill="EAF1F8"/>
          </w:tcPr>
          <w:p>
            <w:pPr>
              <w:spacing w:after="40"/>
            </w:pPr>
            <w:r/>
            <w:r>
              <w:rPr>
                <w:rFonts w:ascii="Heiti SC" w:hAnsi="Heiti SC" w:eastAsia="Heiti SC"/>
                <w:b/>
                <w:color w:val="1F4E79"/>
                <w:sz w:val="20"/>
              </w:rPr>
              <w:t>该步骤的必要性</w:t>
            </w:r>
          </w:p>
          <w:p>
            <w:pPr>
              <w:spacing w:after="20"/>
            </w:pPr>
            <w:r>
              <w:rPr>
                <w:rFonts w:ascii="Songti SC" w:hAnsi="Songti SC" w:eastAsia="Songti SC"/>
                <w:sz w:val="19"/>
              </w:rPr>
              <w:t>格式规整、卷期页码齐全、正文引用与文末列表完全一致的虚构条目,</w:t>
            </w:r>
          </w:p>
          <w:p>
            <w:pPr>
              <w:spacing w:after="20"/>
            </w:pPr>
            <w:r>
              <w:rPr>
                <w:rFonts w:ascii="Songti SC" w:hAnsi="Songti SC" w:eastAsia="Songti SC"/>
                <w:sz w:val="19"/>
              </w:rPr>
              <w:t>仅凭人工查阅与格式检查无法识别,须经数据库实际查证。</w:t>
            </w:r>
          </w:p>
          <w:p>
            <w:pPr>
              <w:spacing w:after="20"/>
            </w:pPr>
            <w:r>
              <w:rPr>
                <w:rFonts w:ascii="Songti SC" w:hAnsi="Songti SC" w:eastAsia="Songti SC"/>
                <w:sz w:val="19"/>
              </w:rPr>
              <w:t>「查无此文」与「无法查证」为两类不同结果,后者不会误判未被收录的中文文献。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spacing w:before="360" w:after="160"/>
      </w:pPr>
      <w:r>
        <w:rPr>
          <w:rFonts w:ascii="Heiti SC" w:hAnsi="Heiti SC" w:eastAsia="Heiti SC"/>
          <w:b/>
          <w:color w:val="1A1A1A"/>
          <w:sz w:val="36"/>
        </w:rPr>
        <w:t>第三章　统计分析</w:t>
      </w:r>
    </w:p>
    <w:p>
      <w:pPr>
        <w:spacing w:after="120" w:line="360" w:lineRule="auto"/>
      </w:pPr>
      <w:r>
        <w:rPr>
          <w:rFonts w:ascii="Songti SC" w:hAnsi="Songti SC" w:eastAsia="Songti SC"/>
          <w:b w:val="0"/>
          <w:i w:val="0"/>
          <w:sz w:val="21"/>
        </w:rPr>
        <w:t>研究者无需编写代码。说明研究问题、变量与数据位置后,系统将生成分析脚本、交由成熟统计库运行,并解读结果。脚本保存于 scripts/ 目录,可供他人复现验证。</w:t>
      </w:r>
    </w:p>
    <w:p>
      <w:pPr>
        <w:spacing w:after="40" w:line="360" w:lineRule="auto"/>
      </w:pPr>
      <w:r>
        <w:rPr>
          <w:rFonts w:ascii="Songti SC" w:hAnsi="Songti SC" w:eastAsia="Songti SC"/>
          <w:b w:val="0"/>
          <w:i w:val="0"/>
          <w:sz w:val="21"/>
        </w:rPr>
        <w:t>首次进行统计分析前,需安装统计库(仅需一次):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66"/>
      </w:tblGrid>
      <w:tr>
        <w:tc>
          <w:tcPr>
            <w:tcW w:type="dxa" w:w="9066"/>
            <w:shd w:val="clear" w:fill="F2F2F2"/>
          </w:tcPr>
          <w:p>
            <w:pPr>
              <w:spacing w:after="0" w:line="276" w:lineRule="auto"/>
            </w:pPr>
            <w:r/>
            <w:r>
              <w:rPr>
                <w:rFonts w:ascii="Menlo" w:hAnsi="Menlo"/>
                <w:color w:val="444444"/>
                <w:sz w:val="18"/>
              </w:rPr>
              <w:t>pip install "psyclaw[stats]"</w:t>
            </w:r>
          </w:p>
        </w:tc>
      </w:tr>
    </w:tbl>
    <w:p>
      <w:pPr>
        <w:spacing w:after="80"/>
      </w:pPr>
    </w:p>
    <w:p>
      <w:pPr>
        <w:pStyle w:val="Heading2"/>
        <w:spacing w:before="240" w:after="160"/>
      </w:pPr>
      <w:r>
        <w:rPr>
          <w:rFonts w:ascii="Heiti SC" w:hAnsi="Heiti SC" w:eastAsia="Heiti SC"/>
          <w:b/>
          <w:color w:val="1A1A1A"/>
          <w:sz w:val="28"/>
        </w:rPr>
        <w:t>3.1　分析前的准备</w:t>
      </w:r>
    </w:p>
    <w:p>
      <w:pPr>
        <w:spacing w:after="120" w:line="360" w:lineRule="auto"/>
      </w:pPr>
      <w:r>
        <w:rPr>
          <w:rFonts w:ascii="Songti SC" w:hAnsi="Songti SC" w:eastAsia="Songti SC"/>
          <w:b w:val="0"/>
          <w:i w:val="0"/>
          <w:sz w:val="21"/>
        </w:rPr>
        <w:t>分析结果的可信度,很大程度上取决于分析计划确定于接触数据之前还是之后。因此第一步并非运行数据,而是记录分析计划。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66"/>
      </w:tblGrid>
      <w:tr>
        <w:tc>
          <w:tcPr>
            <w:tcW w:type="dxa" w:w="9066"/>
            <w:shd w:val="clear" w:fill="EAF1F8"/>
          </w:tcPr>
          <w:p>
            <w:pPr>
              <w:spacing w:after="40"/>
            </w:pPr>
            <w:r/>
            <w:r>
              <w:rPr>
                <w:rFonts w:ascii="Heiti SC" w:hAnsi="Heiti SC" w:eastAsia="Heiti SC"/>
                <w:b/>
                <w:color w:val="1F4E79"/>
                <w:sz w:val="20"/>
              </w:rPr>
              <w:t>对话示例</w:t>
            </w:r>
          </w:p>
          <w:p>
            <w:pPr>
              <w:spacing w:after="20"/>
            </w:pPr>
            <w:r>
              <w:rPr>
                <w:rFonts w:ascii="Songti SC" w:hAnsi="Songti SC" w:eastAsia="Songti SC"/>
                <w:sz w:val="19"/>
              </w:rPr>
              <w:t>「我要研究工作倦怠在工作满意度和离职意向之间的中介作用,帮我把研究准备清单过一遍」</w:t>
            </w:r>
          </w:p>
          <w:p>
            <w:pPr>
              <w:spacing w:after="20"/>
            </w:pPr>
            <w:r>
              <w:rPr>
                <w:rFonts w:ascii="Songti SC" w:hAnsi="Songti SC" w:eastAsia="Songti SC"/>
                <w:sz w:val="19"/>
              </w:rPr>
              <w:t>「这个假设是确证性的,帮我先声明下来」</w:t>
            </w:r>
          </w:p>
          <w:p>
            <w:pPr>
              <w:spacing w:after="20"/>
            </w:pPr>
            <w:r>
              <w:rPr>
                <w:rFonts w:ascii="Songti SC" w:hAnsi="Songti SC" w:eastAsia="Songti SC"/>
                <w:sz w:val="19"/>
              </w:rPr>
              <w:t>「我打算用中介分析,样本量需要多少?」</w:t>
            </w:r>
          </w:p>
        </w:tc>
      </w:tr>
    </w:tbl>
    <w:p>
      <w:pPr>
        <w:spacing w:after="80"/>
      </w:pPr>
    </w:p>
    <w:p>
      <w:pPr>
        <w:spacing w:after="120" w:line="360" w:lineRule="auto"/>
      </w:pPr>
      <w:r>
        <w:rPr>
          <w:rFonts w:ascii="Songti SC" w:hAnsi="Songti SC" w:eastAsia="Songti SC"/>
          <w:b w:val="0"/>
          <w:i w:val="0"/>
          <w:sz w:val="21"/>
        </w:rPr>
        <w:t>系统将逐项询问:结局如何定义、自变量如何操作化、排除标准为何、拟采用何种检验。完成后该清单将保存下来,供撰写方法部分、进行预注册与稿件检查时使用。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66"/>
      </w:tblGrid>
      <w:tr>
        <w:tc>
          <w:tcPr>
            <w:tcW w:type="dxa" w:w="9066"/>
            <w:shd w:val="clear" w:fill="EAF5EE"/>
          </w:tcPr>
          <w:p>
            <w:pPr>
              <w:spacing w:after="40"/>
            </w:pPr>
            <w:r/>
            <w:r>
              <w:rPr>
                <w:rFonts w:ascii="Heiti SC" w:hAnsi="Heiti SC" w:eastAsia="Heiti SC"/>
                <w:b/>
                <w:color w:val="1E6B3A"/>
                <w:sz w:val="20"/>
              </w:rPr>
              <w:t>实用建议</w:t>
            </w:r>
          </w:p>
          <w:p>
            <w:pPr>
              <w:spacing w:after="20"/>
            </w:pPr>
            <w:r>
              <w:rPr>
                <w:rFonts w:ascii="Songti SC" w:hAnsi="Songti SC" w:eastAsia="Songti SC"/>
                <w:sz w:val="19"/>
              </w:rPr>
              <w:t>「先声明,后分析」并非形式要求。已声明的假设属确证性,</w:t>
            </w:r>
          </w:p>
          <w:p>
            <w:pPr>
              <w:spacing w:after="20"/>
            </w:pPr>
            <w:r>
              <w:rPr>
                <w:rFonts w:ascii="Songti SC" w:hAnsi="Songti SC" w:eastAsia="Songti SC"/>
                <w:sz w:val="19"/>
              </w:rPr>
              <w:t>未经声明所得结果属探索性——二者在论文中的表述方式与证据分量截然不同。</w:t>
            </w:r>
          </w:p>
          <w:p>
            <w:pPr>
              <w:spacing w:after="20"/>
            </w:pPr>
            <w:r>
              <w:rPr>
                <w:rFonts w:ascii="Songti SC" w:hAnsi="Songti SC" w:eastAsia="Songti SC"/>
                <w:sz w:val="19"/>
              </w:rPr>
              <w:t>PsyClaw 将守住这一界线,避免探索性结果被表述为确证性发现。</w:t>
            </w:r>
          </w:p>
        </w:tc>
      </w:tr>
    </w:tbl>
    <w:p>
      <w:pPr>
        <w:spacing w:after="80"/>
      </w:pPr>
    </w:p>
    <w:p>
      <w:pPr>
        <w:pStyle w:val="Heading2"/>
        <w:spacing w:before="240" w:after="160"/>
      </w:pPr>
      <w:r>
        <w:rPr>
          <w:rFonts w:ascii="Heiti SC" w:hAnsi="Heiti SC" w:eastAsia="Heiti SC"/>
          <w:b/>
          <w:color w:val="1A1A1A"/>
          <w:sz w:val="28"/>
        </w:rPr>
        <w:t>3.2　数据清理与量表计分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66"/>
      </w:tblGrid>
      <w:tr>
        <w:tc>
          <w:tcPr>
            <w:tcW w:type="dxa" w:w="9066"/>
            <w:shd w:val="clear" w:fill="EAF1F8"/>
          </w:tcPr>
          <w:p>
            <w:pPr>
              <w:spacing w:after="40"/>
            </w:pPr>
            <w:r/>
            <w:r>
              <w:rPr>
                <w:rFonts w:ascii="Heiti SC" w:hAnsi="Heiti SC" w:eastAsia="Heiti SC"/>
                <w:b/>
                <w:color w:val="1F4E79"/>
                <w:sz w:val="20"/>
              </w:rPr>
              <w:t>对话示例</w:t>
            </w:r>
          </w:p>
          <w:p>
            <w:pPr>
              <w:spacing w:after="20"/>
            </w:pPr>
            <w:r>
              <w:rPr>
                <w:rFonts w:ascii="Songti SC" w:hAnsi="Songti SC" w:eastAsia="Songti SC"/>
                <w:sz w:val="19"/>
              </w:rPr>
              <w:t>「数据在 data/clean/survey.csv,帮我看看这份数据什么情况」</w:t>
            </w:r>
          </w:p>
          <w:p>
            <w:pPr>
              <w:spacing w:after="20"/>
            </w:pPr>
            <w:r>
              <w:rPr>
                <w:rFonts w:ascii="Songti SC" w:hAnsi="Songti SC" w:eastAsia="Songti SC"/>
                <w:sz w:val="19"/>
              </w:rPr>
              <w:t>「帮我按 MBI 的计分规则算总分,第 13、14 题是反向题」</w:t>
            </w:r>
          </w:p>
          <w:p>
            <w:pPr>
              <w:spacing w:after="20"/>
            </w:pPr>
            <w:r>
              <w:rPr>
                <w:rFonts w:ascii="Songti SC" w:hAnsi="Songti SC" w:eastAsia="Songti SC"/>
                <w:sz w:val="19"/>
              </w:rPr>
              <w:t>「有没有明显乱答的被试?比如一直选同一个选项的」</w:t>
            </w:r>
          </w:p>
        </w:tc>
      </w:tr>
    </w:tbl>
    <w:p>
      <w:pPr>
        <w:spacing w:after="80"/>
      </w:pPr>
    </w:p>
    <w:p>
      <w:pPr>
        <w:spacing w:after="120" w:line="360" w:lineRule="auto"/>
      </w:pPr>
      <w:r>
        <w:rPr>
          <w:rFonts w:ascii="Songti SC" w:hAnsi="Songti SC" w:eastAsia="Songti SC"/>
          <w:b w:val="0"/>
          <w:i w:val="0"/>
          <w:sz w:val="21"/>
        </w:rPr>
        <w:t>系统可执行反向题翻转、子量表求和、缺失值处理,并识别可疑作答模式。量表计分规则由研究者提供一次(见附录 B),此后持续可用。</w:t>
      </w:r>
    </w:p>
    <w:p>
      <w:pPr>
        <w:pStyle w:val="Heading2"/>
        <w:spacing w:before="240" w:after="160"/>
      </w:pPr>
      <w:r>
        <w:rPr>
          <w:rFonts w:ascii="Heiti SC" w:hAnsi="Heiti SC" w:eastAsia="Heiti SC"/>
          <w:b/>
          <w:color w:val="1A1A1A"/>
          <w:sz w:val="28"/>
        </w:rPr>
        <w:t>3.3　执行分析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66"/>
      </w:tblGrid>
      <w:tr>
        <w:tc>
          <w:tcPr>
            <w:tcW w:type="dxa" w:w="9066"/>
            <w:shd w:val="clear" w:fill="EAF1F8"/>
          </w:tcPr>
          <w:p>
            <w:pPr>
              <w:spacing w:after="40"/>
            </w:pPr>
            <w:r/>
            <w:r>
              <w:rPr>
                <w:rFonts w:ascii="Heiti SC" w:hAnsi="Heiti SC" w:eastAsia="Heiti SC"/>
                <w:b/>
                <w:color w:val="1F4E79"/>
                <w:sz w:val="20"/>
              </w:rPr>
              <w:t>对话示例</w:t>
            </w:r>
          </w:p>
          <w:p>
            <w:pPr>
              <w:spacing w:after="20"/>
            </w:pPr>
            <w:r>
              <w:rPr>
                <w:rFonts w:ascii="Songti SC" w:hAnsi="Songti SC" w:eastAsia="Songti SC"/>
                <w:sz w:val="19"/>
              </w:rPr>
              <w:t>「帮我做个中介分析,自变量工作满意度,中介变量倦怠,因变量离职意向」</w:t>
            </w:r>
          </w:p>
          <w:p>
            <w:pPr>
              <w:spacing w:after="20"/>
            </w:pPr>
            <w:r>
              <w:rPr>
                <w:rFonts w:ascii="Songti SC" w:hAnsi="Songti SC" w:eastAsia="Songti SC"/>
                <w:sz w:val="19"/>
              </w:rPr>
              <w:t>「两组比较一下,看看性别有没有差异」</w:t>
            </w:r>
          </w:p>
          <w:p>
            <w:pPr>
              <w:spacing w:after="20"/>
            </w:pPr>
            <w:r>
              <w:rPr>
                <w:rFonts w:ascii="Songti SC" w:hAnsi="Songti SC" w:eastAsia="Songti SC"/>
                <w:sz w:val="19"/>
              </w:rPr>
              <w:t>「帮我看看这些数据适不适合做回归,前提假设满足吗」</w:t>
            </w:r>
          </w:p>
          <w:p>
            <w:pPr>
              <w:spacing w:after="20"/>
            </w:pPr>
            <w:r>
              <w:rPr>
                <w:rFonts w:ascii="Songti SC" w:hAnsi="Songti SC" w:eastAsia="Songti SC"/>
                <w:sz w:val="19"/>
              </w:rPr>
              <w:t>「把这个分析写成脚本,我要能自己重跑」</w:t>
            </w:r>
          </w:p>
        </w:tc>
      </w:tr>
    </w:tbl>
    <w:p>
      <w:pPr>
        <w:spacing w:after="80"/>
      </w:pPr>
    </w:p>
    <w:p>
      <w:pPr>
        <w:spacing w:after="120" w:line="360" w:lineRule="auto"/>
      </w:pPr>
      <w:r>
        <w:rPr>
          <w:rFonts w:ascii="Songti SC" w:hAnsi="Songti SC" w:eastAsia="Songti SC"/>
          <w:b w:val="0"/>
          <w:i w:val="0"/>
          <w:sz w:val="21"/>
        </w:rPr>
        <w:t>系统将生成脚本并运行,随后以日常语言解读结果:先说明结果的实际含义,再给出统计数值。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66"/>
      </w:tblGrid>
      <w:tr>
        <w:tc>
          <w:tcPr>
            <w:tcW w:type="dxa" w:w="9066"/>
            <w:shd w:val="clear" w:fill="EAF1F8"/>
          </w:tcPr>
          <w:p>
            <w:pPr>
              <w:spacing w:after="40"/>
            </w:pPr>
            <w:r/>
            <w:r>
              <w:rPr>
                <w:rFonts w:ascii="Heiti SC" w:hAnsi="Heiti SC" w:eastAsia="Heiti SC"/>
                <w:b/>
                <w:color w:val="1F4E79"/>
                <w:sz w:val="20"/>
              </w:rPr>
              <w:t>统计报告规范</w:t>
            </w:r>
          </w:p>
          <w:p>
            <w:pPr>
              <w:spacing w:after="20"/>
            </w:pPr>
            <w:r>
              <w:rPr>
                <w:rFonts w:ascii="Songti SC" w:hAnsi="Songti SC" w:eastAsia="Songti SC"/>
                <w:sz w:val="19"/>
              </w:rPr>
              <w:t>· 必报效应量与 95% 置信区间,不止于 p 值;</w:t>
            </w:r>
          </w:p>
          <w:p>
            <w:pPr>
              <w:spacing w:after="20"/>
            </w:pPr>
            <w:r>
              <w:rPr>
                <w:rFonts w:ascii="Songti SC" w:hAnsi="Songti SC" w:eastAsia="Songti SC"/>
                <w:sz w:val="19"/>
              </w:rPr>
              <w:t>· p 值大于 .05 即如实报告不显著,不使用「边缘显著」「显著趋势」等表述;</w:t>
            </w:r>
          </w:p>
          <w:p>
            <w:pPr>
              <w:spacing w:after="20"/>
            </w:pPr>
            <w:r>
              <w:rPr>
                <w:rFonts w:ascii="Songti SC" w:hAnsi="Songti SC" w:eastAsia="Songti SC"/>
                <w:sz w:val="19"/>
              </w:rPr>
              <w:t>· 相关不等于因果,涉及因果的表述附带识别假设;</w:t>
            </w:r>
          </w:p>
          <w:p>
            <w:pPr>
              <w:spacing w:after="20"/>
            </w:pPr>
            <w:r>
              <w:rPr>
                <w:rFonts w:ascii="Songti SC" w:hAnsi="Songti SC" w:eastAsia="Songti SC"/>
                <w:sz w:val="19"/>
              </w:rPr>
              <w:t>· 脚本未实际运行前,不提供含具体数值的「示例结果」。</w:t>
            </w:r>
          </w:p>
        </w:tc>
      </w:tr>
    </w:tbl>
    <w:p>
      <w:pPr>
        <w:spacing w:after="80"/>
      </w:pPr>
    </w:p>
    <w:p>
      <w:pPr>
        <w:pStyle w:val="Heading2"/>
        <w:spacing w:before="240" w:after="160"/>
      </w:pPr>
      <w:r>
        <w:rPr>
          <w:rFonts w:ascii="Heiti SC" w:hAnsi="Heiti SC" w:eastAsia="Heiti SC"/>
          <w:b/>
          <w:color w:val="1A1A1A"/>
          <w:sz w:val="28"/>
        </w:rPr>
        <w:t>3.4　完整流程</w:t>
      </w:r>
    </w:p>
    <w:p>
      <w:pPr>
        <w:spacing w:after="120" w:line="360" w:lineRule="auto"/>
      </w:pPr>
      <w:r>
        <w:rPr>
          <w:rFonts w:ascii="Songti SC" w:hAnsi="Songti SC" w:eastAsia="Songti SC"/>
          <w:b w:val="0"/>
          <w:i w:val="0"/>
          <w:sz w:val="21"/>
        </w:rPr>
        <w:t>如需系统串联执行完整分析流程: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66"/>
      </w:tblGrid>
      <w:tr>
        <w:tc>
          <w:tcPr>
            <w:tcW w:type="dxa" w:w="9066"/>
            <w:shd w:val="clear" w:fill="EAF1F8"/>
          </w:tcPr>
          <w:p>
            <w:pPr>
              <w:spacing w:after="40"/>
            </w:pPr>
            <w:r/>
            <w:r>
              <w:rPr>
                <w:rFonts w:ascii="Heiti SC" w:hAnsi="Heiti SC" w:eastAsia="Heiti SC"/>
                <w:b/>
                <w:color w:val="1F4E79"/>
                <w:sz w:val="20"/>
              </w:rPr>
              <w:t>对话示例</w:t>
            </w:r>
          </w:p>
          <w:p>
            <w:pPr>
              <w:spacing w:after="20"/>
            </w:pPr>
            <w:r>
              <w:rPr>
                <w:rFonts w:ascii="Songti SC" w:hAnsi="Songti SC" w:eastAsia="Songti SC"/>
                <w:sz w:val="19"/>
              </w:rPr>
              <w:t>「帮我把这份数据的分析从头走一遍:先描述,再主分析,最后做稳健性检验」</w:t>
            </w:r>
          </w:p>
          <w:p>
            <w:pPr>
              <w:spacing w:after="20"/>
            </w:pPr>
            <w:r>
              <w:rPr>
                <w:rFonts w:ascii="Songti SC" w:hAnsi="Songti SC" w:eastAsia="Songti SC"/>
                <w:sz w:val="19"/>
              </w:rPr>
              <w:t>「我要做元分析,效应量表在这个文件里」</w:t>
            </w:r>
          </w:p>
          <w:p>
            <w:pPr>
              <w:spacing w:after="20"/>
            </w:pPr>
            <w:r>
              <w:rPr>
                <w:rFonts w:ascii="Songti SC" w:hAnsi="Songti SC" w:eastAsia="Songti SC"/>
                <w:sz w:val="19"/>
              </w:rPr>
              <w:t>「这是访谈转录稿,帮我做主题分析」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spacing w:before="360" w:after="160"/>
      </w:pPr>
      <w:r>
        <w:rPr>
          <w:rFonts w:ascii="Heiti SC" w:hAnsi="Heiti SC" w:eastAsia="Heiti SC"/>
          <w:b/>
          <w:color w:val="1A1A1A"/>
          <w:sz w:val="36"/>
        </w:rPr>
        <w:t>第四章　论文写作与润色</w:t>
      </w:r>
    </w:p>
    <w:p>
      <w:pPr>
        <w:pStyle w:val="Heading2"/>
        <w:spacing w:before="240" w:after="160"/>
      </w:pPr>
      <w:r>
        <w:rPr>
          <w:rFonts w:ascii="Heiti SC" w:hAnsi="Heiti SC" w:eastAsia="Heiti SC"/>
          <w:b/>
          <w:color w:val="1A1A1A"/>
          <w:sz w:val="28"/>
        </w:rPr>
        <w:t>4.1　撰写初稿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66"/>
      </w:tblGrid>
      <w:tr>
        <w:tc>
          <w:tcPr>
            <w:tcW w:type="dxa" w:w="9066"/>
            <w:shd w:val="clear" w:fill="EAF1F8"/>
          </w:tcPr>
          <w:p>
            <w:pPr>
              <w:spacing w:after="40"/>
            </w:pPr>
            <w:r/>
            <w:r>
              <w:rPr>
                <w:rFonts w:ascii="Heiti SC" w:hAnsi="Heiti SC" w:eastAsia="Heiti SC"/>
                <w:b/>
                <w:color w:val="1F4E79"/>
                <w:sz w:val="20"/>
              </w:rPr>
              <w:t>对话示例</w:t>
            </w:r>
          </w:p>
          <w:p>
            <w:pPr>
              <w:spacing w:after="20"/>
            </w:pPr>
            <w:r>
              <w:rPr>
                <w:rFonts w:ascii="Songti SC" w:hAnsi="Songti SC" w:eastAsia="Songti SC"/>
                <w:sz w:val="19"/>
              </w:rPr>
              <w:t>「根据上面的分析结果,帮我写方法部分」</w:t>
            </w:r>
          </w:p>
          <w:p>
            <w:pPr>
              <w:spacing w:after="20"/>
            </w:pPr>
            <w:r>
              <w:rPr>
                <w:rFonts w:ascii="Songti SC" w:hAnsi="Songti SC" w:eastAsia="Songti SC"/>
                <w:sz w:val="19"/>
              </w:rPr>
              <w:t>「结果部分写一下,按 APA 格式报告」</w:t>
            </w:r>
          </w:p>
          <w:p>
            <w:pPr>
              <w:spacing w:after="20"/>
            </w:pPr>
            <w:r>
              <w:rPr>
                <w:rFonts w:ascii="Songti SC" w:hAnsi="Songti SC" w:eastAsia="Songti SC"/>
                <w:sz w:val="19"/>
              </w:rPr>
              <w:t>「帮我把讨论部分的第二段改得紧凑一些」</w:t>
            </w:r>
          </w:p>
          <w:p>
            <w:pPr>
              <w:spacing w:after="20"/>
            </w:pPr>
            <w:r>
              <w:rPr>
                <w:rFonts w:ascii="Songti SC" w:hAnsi="Songti SC" w:eastAsia="Songti SC"/>
                <w:sz w:val="19"/>
              </w:rPr>
              <w:t>「这段话太啰嗦了,精简到 150 字以内」</w:t>
            </w:r>
          </w:p>
        </w:tc>
      </w:tr>
    </w:tbl>
    <w:p>
      <w:pPr>
        <w:spacing w:after="80"/>
      </w:pPr>
    </w:p>
    <w:p>
      <w:pPr>
        <w:spacing w:after="120" w:line="360" w:lineRule="auto"/>
      </w:pPr>
      <w:r>
        <w:rPr>
          <w:rFonts w:ascii="Songti SC" w:hAnsi="Songti SC" w:eastAsia="Songti SC"/>
          <w:b w:val="0"/>
          <w:i w:val="0"/>
          <w:sz w:val="21"/>
        </w:rPr>
        <w:t>撰写过程遵循两条规则:统计数值仅使用实际运行所得结果,缺失处以「(待回填)」占位并在文末列出清单;引用仅使用检索所得真实文献,缺失处标注「(待补引)」,检索到后再行填补,不以看似合理的条目填充。</w:t>
      </w:r>
    </w:p>
    <w:p>
      <w:pPr>
        <w:pStyle w:val="Heading2"/>
        <w:spacing w:before="240" w:after="160"/>
      </w:pPr>
      <w:r>
        <w:rPr>
          <w:rFonts w:ascii="Heiti SC" w:hAnsi="Heiti SC" w:eastAsia="Heiti SC"/>
          <w:b/>
          <w:color w:val="1A1A1A"/>
          <w:sz w:val="28"/>
        </w:rPr>
        <w:t>4.2　投稿前检查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66"/>
      </w:tblGrid>
      <w:tr>
        <w:tc>
          <w:tcPr>
            <w:tcW w:type="dxa" w:w="9066"/>
            <w:shd w:val="clear" w:fill="EAF1F8"/>
          </w:tcPr>
          <w:p>
            <w:pPr>
              <w:spacing w:after="40"/>
            </w:pPr>
            <w:r/>
            <w:r>
              <w:rPr>
                <w:rFonts w:ascii="Heiti SC" w:hAnsi="Heiti SC" w:eastAsia="Heiti SC"/>
                <w:b/>
                <w:color w:val="1F4E79"/>
                <w:sz w:val="20"/>
              </w:rPr>
              <w:t>对话示例</w:t>
            </w:r>
          </w:p>
          <w:p>
            <w:pPr>
              <w:spacing w:after="20"/>
            </w:pPr>
            <w:r>
              <w:rPr>
                <w:rFonts w:ascii="Songti SC" w:hAnsi="Songti SC" w:eastAsia="Songti SC"/>
                <w:sz w:val="19"/>
              </w:rPr>
              <w:t>「帮我按 APA 规范检查一下这份稿子」</w:t>
            </w:r>
          </w:p>
          <w:p>
            <w:pPr>
              <w:spacing w:after="20"/>
            </w:pPr>
            <w:r>
              <w:rPr>
                <w:rFonts w:ascii="Songti SC" w:hAnsi="Songti SC" w:eastAsia="Songti SC"/>
                <w:sz w:val="19"/>
              </w:rPr>
              <w:t>「对照 JARS 清单看看还缺什么」</w:t>
            </w:r>
          </w:p>
          <w:p>
            <w:pPr>
              <w:spacing w:after="20"/>
            </w:pPr>
            <w:r>
              <w:rPr>
                <w:rFonts w:ascii="Songti SC" w:hAnsi="Songti SC" w:eastAsia="Songti SC"/>
                <w:sz w:val="19"/>
              </w:rPr>
              <w:t>「帮我审一下这篇,像 Nature 审稿人那样,尽量挑刺」</w:t>
            </w:r>
          </w:p>
        </w:tc>
      </w:tr>
    </w:tbl>
    <w:p>
      <w:pPr>
        <w:spacing w:after="80"/>
      </w:pPr>
    </w:p>
    <w:p>
      <w:pPr>
        <w:spacing w:after="120" w:line="360" w:lineRule="auto"/>
      </w:pPr>
      <w:r>
        <w:rPr>
          <w:rFonts w:ascii="Songti SC" w:hAnsi="Songti SC" w:eastAsia="Songti SC"/>
          <w:b w:val="0"/>
          <w:i w:val="0"/>
          <w:sz w:val="21"/>
        </w:rPr>
        <w:t>检查将一次性汇总以下结果:JARS 清单是否存在遗漏、参考文献是否均真实存在、格式是否符合目标期刊要求、结论是否具备相应的分析支撑。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66"/>
      </w:tblGrid>
      <w:tr>
        <w:tc>
          <w:tcPr>
            <w:tcW w:type="dxa" w:w="9066"/>
            <w:shd w:val="clear" w:fill="EAF5EE"/>
          </w:tcPr>
          <w:p>
            <w:pPr>
              <w:spacing w:after="40"/>
            </w:pPr>
            <w:r/>
            <w:r>
              <w:rPr>
                <w:rFonts w:ascii="Heiti SC" w:hAnsi="Heiti SC" w:eastAsia="Heiti SC"/>
                <w:b/>
                <w:color w:val="1E6B3A"/>
                <w:sz w:val="20"/>
              </w:rPr>
              <w:t>内置审稿流程</w:t>
            </w:r>
          </w:p>
          <w:p>
            <w:pPr>
              <w:spacing w:after="20"/>
            </w:pPr>
            <w:r>
              <w:rPr>
                <w:rFonts w:ascii="Songti SC" w:hAnsi="Songti SC" w:eastAsia="Songti SC"/>
                <w:sz w:val="19"/>
              </w:rPr>
              <w:t>审稿模拟基于从 1287 篇 Nature 审稿报告中提炼的流程:</w:t>
            </w:r>
          </w:p>
          <w:p>
            <w:pPr>
              <w:spacing w:after="20"/>
            </w:pPr>
            <w:r>
              <w:rPr>
                <w:rFonts w:ascii="Songti SC" w:hAnsi="Songti SC" w:eastAsia="Songti SC"/>
                <w:sz w:val="19"/>
              </w:rPr>
              <w:t>分 12 个维度逐一审查,并给出可执行的修改建议。</w:t>
            </w:r>
          </w:p>
          <w:p>
            <w:pPr>
              <w:spacing w:after="20"/>
            </w:pPr>
            <w:r>
              <w:rPr>
                <w:rFonts w:ascii="Songti SC" w:hAnsi="Songti SC" w:eastAsia="Songti SC"/>
                <w:sz w:val="19"/>
              </w:rPr>
              <w:t>投稿前先行自查,可显著降低因基础问题被拒的风险。</w:t>
            </w:r>
          </w:p>
        </w:tc>
      </w:tr>
    </w:tbl>
    <w:p>
      <w:pPr>
        <w:spacing w:after="80"/>
      </w:pPr>
    </w:p>
    <w:p>
      <w:pPr>
        <w:pStyle w:val="Heading2"/>
        <w:spacing w:before="240" w:after="160"/>
      </w:pPr>
      <w:r>
        <w:rPr>
          <w:rFonts w:ascii="Heiti SC" w:hAnsi="Heiti SC" w:eastAsia="Heiti SC"/>
          <w:b/>
          <w:color w:val="1A1A1A"/>
          <w:sz w:val="28"/>
        </w:rPr>
        <w:t>4.3　图表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66"/>
      </w:tblGrid>
      <w:tr>
        <w:tc>
          <w:tcPr>
            <w:tcW w:type="dxa" w:w="9066"/>
            <w:shd w:val="clear" w:fill="EAF1F8"/>
          </w:tcPr>
          <w:p>
            <w:pPr>
              <w:spacing w:after="40"/>
            </w:pPr>
            <w:r/>
            <w:r>
              <w:rPr>
                <w:rFonts w:ascii="Heiti SC" w:hAnsi="Heiti SC" w:eastAsia="Heiti SC"/>
                <w:b/>
                <w:color w:val="1F4E79"/>
                <w:sz w:val="20"/>
              </w:rPr>
              <w:t>对话示例</w:t>
            </w:r>
          </w:p>
          <w:p>
            <w:pPr>
              <w:spacing w:after="20"/>
            </w:pPr>
            <w:r>
              <w:rPr>
                <w:rFonts w:ascii="Songti SC" w:hAnsi="Songti SC" w:eastAsia="Songti SC"/>
                <w:sz w:val="19"/>
              </w:rPr>
              <w:t>「帮我画一张中介模型的路径图」</w:t>
            </w:r>
          </w:p>
          <w:p>
            <w:pPr>
              <w:spacing w:after="20"/>
            </w:pPr>
            <w:r>
              <w:rPr>
                <w:rFonts w:ascii="Songti SC" w:hAnsi="Songti SC" w:eastAsia="Songti SC"/>
                <w:sz w:val="19"/>
              </w:rPr>
              <w:t>「把这三组的均值画成柱状图,APA 风格」</w:t>
            </w:r>
          </w:p>
          <w:p>
            <w:pPr>
              <w:spacing w:after="20"/>
            </w:pPr>
            <w:r>
              <w:rPr>
                <w:rFonts w:ascii="Songti SC" w:hAnsi="Songti SC" w:eastAsia="Songti SC"/>
                <w:sz w:val="19"/>
              </w:rPr>
              <w:t>「这张图的纵轴是不是截断了?看着有点夸大」</w:t>
            </w:r>
          </w:p>
        </w:tc>
      </w:tr>
    </w:tbl>
    <w:p>
      <w:pPr>
        <w:spacing w:after="80"/>
      </w:pPr>
    </w:p>
    <w:p>
      <w:pPr>
        <w:spacing w:after="120" w:line="360" w:lineRule="auto"/>
      </w:pPr>
      <w:r>
        <w:rPr>
          <w:rFonts w:ascii="Songti SC" w:hAnsi="Songti SC" w:eastAsia="Songti SC"/>
          <w:b w:val="0"/>
          <w:i w:val="0"/>
          <w:sz w:val="21"/>
        </w:rPr>
        <w:t>图表保存至 figures/ 目录,中文标签正常显示。系统亦会提示截断坐标轴等易造成误导的呈现方式。</w:t>
      </w:r>
    </w:p>
    <w:p>
      <w:pPr>
        <w:pStyle w:val="Heading2"/>
        <w:spacing w:before="240" w:after="160"/>
      </w:pPr>
      <w:r>
        <w:rPr>
          <w:rFonts w:ascii="Heiti SC" w:hAnsi="Heiti SC" w:eastAsia="Heiti SC"/>
          <w:b/>
          <w:color w:val="1A1A1A"/>
          <w:sz w:val="28"/>
        </w:rPr>
        <w:t>4.4　导出与投稿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66"/>
      </w:tblGrid>
      <w:tr>
        <w:tc>
          <w:tcPr>
            <w:tcW w:type="dxa" w:w="9066"/>
            <w:shd w:val="clear" w:fill="EAF1F8"/>
          </w:tcPr>
          <w:p>
            <w:pPr>
              <w:spacing w:after="40"/>
            </w:pPr>
            <w:r/>
            <w:r>
              <w:rPr>
                <w:rFonts w:ascii="Heiti SC" w:hAnsi="Heiti SC" w:eastAsia="Heiti SC"/>
                <w:b/>
                <w:color w:val="1F4E79"/>
                <w:sz w:val="20"/>
              </w:rPr>
              <w:t>对话示例</w:t>
            </w:r>
          </w:p>
          <w:p>
            <w:pPr>
              <w:spacing w:after="20"/>
            </w:pPr>
            <w:r>
              <w:rPr>
                <w:rFonts w:ascii="Songti SC" w:hAnsi="Songti SC" w:eastAsia="Songti SC"/>
                <w:sz w:val="19"/>
              </w:rPr>
              <w:t>「导出成 Word,APA7 格式」</w:t>
            </w:r>
          </w:p>
          <w:p>
            <w:pPr>
              <w:spacing w:after="20"/>
            </w:pPr>
            <w:r>
              <w:rPr>
                <w:rFonts w:ascii="Songti SC" w:hAnsi="Songti SC" w:eastAsia="Songti SC"/>
                <w:sz w:val="19"/>
              </w:rPr>
              <w:t>「按心理学报的格式导出」</w:t>
            </w:r>
          </w:p>
          <w:p>
            <w:pPr>
              <w:spacing w:after="20"/>
            </w:pPr>
            <w:r>
              <w:rPr>
                <w:rFonts w:ascii="Songti SC" w:hAnsi="Songti SC" w:eastAsia="Songti SC"/>
                <w:sz w:val="19"/>
              </w:rPr>
              <w:t>「这篇准备投心理科学,帮我看看格式要求对不对得上」</w:t>
            </w:r>
          </w:p>
        </w:tc>
      </w:tr>
    </w:tbl>
    <w:p>
      <w:pPr>
        <w:spacing w:after="80"/>
      </w:pPr>
    </w:p>
    <w:p>
      <w:pPr>
        <w:spacing w:after="120" w:line="360" w:lineRule="auto"/>
      </w:pPr>
      <w:r>
        <w:rPr>
          <w:rFonts w:ascii="Songti SC" w:hAnsi="Songti SC" w:eastAsia="Songti SC"/>
          <w:b w:val="0"/>
          <w:i w:val="0"/>
          <w:sz w:val="21"/>
        </w:rPr>
        <w:t>导出的 Word 文件版式确定:字体、行距、三级标题、参考文献悬挂缩进与页码位置均按目标期刊要求排布,图片真实嵌入。当前支持 APA7、心理学报、心理科学三种格式。</w:t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Heiti SC" w:hAnsi="Heiti SC" w:eastAsia="Heiti SC"/>
          <w:b/>
          <w:color w:val="1A1A1A"/>
          <w:sz w:val="36"/>
        </w:rPr>
        <w:t>第五章　使用建议与能力边界</w:t>
      </w:r>
    </w:p>
    <w:p>
      <w:pPr>
        <w:pStyle w:val="Heading2"/>
        <w:spacing w:before="240" w:after="160"/>
      </w:pPr>
      <w:r>
        <w:rPr>
          <w:rFonts w:ascii="Heiti SC" w:hAnsi="Heiti SC" w:eastAsia="Heiti SC"/>
          <w:b/>
          <w:color w:val="1A1A1A"/>
          <w:sz w:val="28"/>
        </w:rPr>
        <w:t>5.1　使用建议</w:t>
      </w:r>
    </w:p>
    <w:p>
      <w:pPr>
        <w:pStyle w:val="ListBullet"/>
        <w:spacing w:after="60" w:line="336" w:lineRule="auto"/>
      </w:pPr>
      <w:r>
        <w:rPr>
          <w:rFonts w:ascii="Songti SC" w:hAnsi="Songti SC" w:eastAsia="Songti SC"/>
          <w:sz w:val="21"/>
        </w:rPr>
        <w:t>每项课题使用 psyclaw new 单独建立目录,进度与目标相互隔离。</w:t>
      </w:r>
    </w:p>
    <w:p>
      <w:pPr>
        <w:pStyle w:val="ListBullet"/>
        <w:spacing w:after="60" w:line="336" w:lineRule="auto"/>
      </w:pPr>
      <w:r>
        <w:rPr>
          <w:rFonts w:ascii="Songti SC" w:hAnsi="Songti SC" w:eastAsia="Songti SC"/>
          <w:sz w:val="21"/>
        </w:rPr>
        <w:t>开始时先说明研究目标,系统将予以记录,后续建议均围绕该目标给出。</w:t>
      </w:r>
    </w:p>
    <w:p>
      <w:pPr>
        <w:pStyle w:val="ListBullet"/>
        <w:spacing w:after="60" w:line="336" w:lineRule="auto"/>
      </w:pPr>
      <w:r>
        <w:rPr>
          <w:rFonts w:ascii="Songti SC" w:hAnsi="Songti SC" w:eastAsia="Songti SC"/>
          <w:sz w:val="21"/>
        </w:rPr>
        <w:t>过程中可询问当前进展,系统将汇报进度并给出后续建议。</w:t>
      </w:r>
    </w:p>
    <w:p>
      <w:pPr>
        <w:pStyle w:val="ListBullet"/>
        <w:spacing w:after="60" w:line="336" w:lineRule="auto"/>
      </w:pPr>
      <w:r>
        <w:rPr>
          <w:rFonts w:ascii="Songti SC" w:hAnsi="Songti SC" w:eastAsia="Songti SC"/>
          <w:sz w:val="21"/>
        </w:rPr>
        <w:t>对系统所做变更存疑时,可直接询问其改动了哪些文件。</w:t>
      </w:r>
    </w:p>
    <w:p>
      <w:pPr>
        <w:pStyle w:val="ListBullet"/>
        <w:spacing w:after="60" w:line="336" w:lineRule="auto"/>
      </w:pPr>
      <w:r>
        <w:rPr>
          <w:rFonts w:ascii="Songti SC" w:hAnsi="Songti SC" w:eastAsia="Songti SC"/>
          <w:sz w:val="21"/>
        </w:rPr>
        <w:t>若系统声称无法完成某项操作,而该功能理应存在,通常是未匹配到对应能力;更换表述重新提出即可。</w:t>
      </w:r>
    </w:p>
    <w:p>
      <w:pPr>
        <w:pStyle w:val="Heading2"/>
        <w:spacing w:before="240" w:after="160"/>
      </w:pPr>
      <w:r>
        <w:rPr>
          <w:rFonts w:ascii="Heiti SC" w:hAnsi="Heiti SC" w:eastAsia="Heiti SC"/>
          <w:b/>
          <w:color w:val="1A1A1A"/>
          <w:sz w:val="28"/>
        </w:rPr>
        <w:t>5.2　能力边界</w:t>
      </w:r>
    </w:p>
    <w:p>
      <w:pPr>
        <w:spacing w:after="120" w:line="360" w:lineRule="auto"/>
      </w:pPr>
      <w:r>
        <w:rPr>
          <w:rFonts w:ascii="Songti SC" w:hAnsi="Songti SC" w:eastAsia="Songti SC"/>
          <w:b w:val="0"/>
          <w:i w:val="0"/>
          <w:sz w:val="21"/>
        </w:rPr>
        <w:t>以下能力边界请在使用前知悉:</w:t>
      </w:r>
    </w:p>
    <w:p>
      <w:pPr>
        <w:pStyle w:val="ListNumber"/>
        <w:spacing w:after="60" w:line="336" w:lineRule="auto"/>
      </w:pPr>
      <w:r>
        <w:rPr>
          <w:rFonts w:ascii="Songti SC" w:hAnsi="Songti SC" w:eastAsia="Songti SC"/>
          <w:sz w:val="21"/>
        </w:rPr>
        <w:t>不代为构思研究问题。系统可协助厘清表述、指出逻辑漏洞,但选题仍由研究者决定。</w:t>
      </w:r>
    </w:p>
    <w:p>
      <w:pPr>
        <w:pStyle w:val="ListNumber"/>
        <w:spacing w:after="60" w:line="336" w:lineRule="auto"/>
      </w:pPr>
      <w:r>
        <w:rPr>
          <w:rFonts w:ascii="Songti SC" w:hAnsi="Songti SC" w:eastAsia="Songti SC"/>
          <w:sz w:val="21"/>
        </w:rPr>
        <w:t>不内置量表库。常用量表的条目与计分规则需由研究者提供一次(见附录 B),此后持续可用。</w:t>
      </w:r>
    </w:p>
    <w:p>
      <w:pPr>
        <w:pStyle w:val="ListNumber"/>
        <w:spacing w:after="60" w:line="336" w:lineRule="auto"/>
      </w:pPr>
      <w:r>
        <w:rPr>
          <w:rFonts w:ascii="Songti SC" w:hAnsi="Songti SC" w:eastAsia="Songti SC"/>
          <w:sz w:val="21"/>
        </w:rPr>
        <w:t>无法获取所在单位未订阅的文献。系统使用的是研究者本人的机构权限,权限不足时不作其他尝试。</w:t>
      </w:r>
    </w:p>
    <w:p>
      <w:pPr>
        <w:pStyle w:val="ListNumber"/>
        <w:spacing w:after="60" w:line="336" w:lineRule="auto"/>
      </w:pPr>
      <w:r>
        <w:rPr>
          <w:rFonts w:ascii="Songti SC" w:hAnsi="Songti SC" w:eastAsia="Songti SC"/>
          <w:sz w:val="21"/>
        </w:rPr>
        <w:t>不承担学术责任。全部统计解读与文献引用最终均须研究者本人复核——论文的责任作者是研究者。</w:t>
      </w:r>
    </w:p>
    <w:p>
      <w:pPr>
        <w:pStyle w:val="Heading2"/>
        <w:spacing w:before="240" w:after="160"/>
      </w:pPr>
      <w:r>
        <w:rPr>
          <w:rFonts w:ascii="Heiti SC" w:hAnsi="Heiti SC" w:eastAsia="Heiti SC"/>
          <w:b/>
          <w:color w:val="1A1A1A"/>
          <w:sz w:val="28"/>
        </w:rPr>
        <w:t>5.3　风险提示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66"/>
      </w:tblGrid>
      <w:tr>
        <w:tc>
          <w:tcPr>
            <w:tcW w:type="dxa" w:w="9066"/>
            <w:shd w:val="clear" w:fill="FBF3E2"/>
          </w:tcPr>
          <w:p>
            <w:pPr>
              <w:spacing w:after="40"/>
            </w:pPr>
            <w:r/>
            <w:r>
              <w:rPr>
                <w:rFonts w:ascii="Heiti SC" w:hAnsi="Heiti SC" w:eastAsia="Heiti SC"/>
                <w:b/>
                <w:color w:val="8A5A00"/>
                <w:sz w:val="20"/>
              </w:rPr>
              <w:t>务必留意</w:t>
            </w:r>
          </w:p>
          <w:p>
            <w:pPr>
              <w:spacing w:after="20"/>
            </w:pPr>
            <w:r>
              <w:rPr>
                <w:rFonts w:ascii="Songti SC" w:hAnsi="Songti SC" w:eastAsia="Songti SC"/>
                <w:sz w:val="19"/>
              </w:rPr>
              <w:t>· 关键引用须阅读原文。查证仅能确认文献真实存在,</w:t>
            </w:r>
          </w:p>
          <w:p>
            <w:pPr>
              <w:spacing w:after="20"/>
            </w:pPr>
            <w:r>
              <w:rPr>
                <w:rFonts w:ascii="Songti SC" w:hAnsi="Songti SC" w:eastAsia="Songti SC"/>
                <w:sz w:val="19"/>
              </w:rPr>
              <w:t xml:space="preserve">  不能确认其支持所提出的论点;</w:t>
            </w:r>
          </w:p>
          <w:p>
            <w:pPr>
              <w:spacing w:after="20"/>
            </w:pPr>
            <w:r>
              <w:rPr>
                <w:rFonts w:ascii="Songti SC" w:hAnsi="Songti SC" w:eastAsia="Songti SC"/>
                <w:sz w:val="19"/>
              </w:rPr>
              <w:t>· 涉及被试隐私的数据,发送至模型前须确认符合所在伦理委员会要求;</w:t>
            </w:r>
          </w:p>
          <w:p>
            <w:pPr>
              <w:spacing w:after="20"/>
            </w:pPr>
            <w:r>
              <w:rPr>
                <w:rFonts w:ascii="Songti SC" w:hAnsi="Songti SC" w:eastAsia="Songti SC"/>
                <w:sz w:val="19"/>
              </w:rPr>
              <w:t>· 原始数据须自行备份。PsyClaw 不写入 data/ 目录,但备份责任在研究者;</w:t>
            </w:r>
          </w:p>
          <w:p>
            <w:pPr>
              <w:spacing w:after="20"/>
            </w:pPr>
            <w:r>
              <w:rPr>
                <w:rFonts w:ascii="Songti SC" w:hAnsi="Songti SC" w:eastAsia="Songti SC"/>
                <w:sz w:val="19"/>
              </w:rPr>
              <w:t>· AI 生成的全部内容,发表后署名的是研究者本人。</w:t>
            </w:r>
          </w:p>
        </w:tc>
      </w:tr>
    </w:tbl>
    <w:p>
      <w:pPr>
        <w:spacing w:after="80"/>
      </w:pPr>
    </w:p>
    <w:p>
      <w:pPr>
        <w:pStyle w:val="Heading2"/>
        <w:spacing w:before="240" w:after="160"/>
      </w:pPr>
      <w:r>
        <w:rPr>
          <w:rFonts w:ascii="Heiti SC" w:hAnsi="Heiti SC" w:eastAsia="Heiti SC"/>
          <w:b/>
          <w:color w:val="1A1A1A"/>
          <w:sz w:val="28"/>
        </w:rPr>
        <w:t>5.4　问题排查</w:t>
      </w:r>
    </w:p>
    <w:p>
      <w:pPr>
        <w:spacing w:after="40" w:line="360" w:lineRule="auto"/>
      </w:pPr>
      <w:r>
        <w:rPr>
          <w:rFonts w:ascii="Songti SC" w:hAnsi="Songti SC" w:eastAsia="Songti SC"/>
          <w:b w:val="0"/>
          <w:i w:val="0"/>
          <w:sz w:val="21"/>
        </w:rPr>
        <w:t>可在对话中直接说明问题,例如某步骤报错或结果异常,系统通常可自行定位。若属环境问题,在终端执行: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66"/>
      </w:tblGrid>
      <w:tr>
        <w:tc>
          <w:tcPr>
            <w:tcW w:type="dxa" w:w="9066"/>
            <w:shd w:val="clear" w:fill="F2F2F2"/>
          </w:tcPr>
          <w:p>
            <w:pPr>
              <w:spacing w:after="0" w:line="276" w:lineRule="auto"/>
            </w:pPr>
            <w:r/>
            <w:r>
              <w:rPr>
                <w:rFonts w:ascii="Menlo" w:hAnsi="Menlo"/>
                <w:color w:val="444444"/>
                <w:sz w:val="18"/>
              </w:rPr>
              <w:t>psyclaw doctor</w:t>
            </w:r>
          </w:p>
        </w:tc>
      </w:tr>
    </w:tbl>
    <w:p>
      <w:pPr>
        <w:spacing w:after="80"/>
      </w:pPr>
    </w:p>
    <w:p>
      <w:pPr>
        <w:spacing w:after="120" w:line="360" w:lineRule="auto"/>
      </w:pPr>
      <w:r>
        <w:rPr>
          <w:rFonts w:ascii="Songti SC" w:hAnsi="Songti SC" w:eastAsia="Songti SC"/>
          <w:b w:val="0"/>
          <w:i w:val="0"/>
          <w:sz w:val="21"/>
        </w:rPr>
        <w:t>仍无法解决时,请将当时的原始输出提交至项目页面:https://github.com/Exekiel179/psyclaw/issues</w:t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Heiti SC" w:hAnsi="Heiti SC" w:eastAsia="Heiti SC"/>
          <w:b/>
          <w:color w:val="1A1A1A"/>
          <w:sz w:val="36"/>
        </w:rPr>
        <w:t>第六章　流程编排与能力扩展</w:t>
      </w:r>
    </w:p>
    <w:p>
      <w:pPr>
        <w:spacing w:after="120" w:line="360" w:lineRule="auto"/>
      </w:pPr>
      <w:r>
        <w:rPr>
          <w:rFonts w:ascii="Songti SC" w:hAnsi="Songti SC" w:eastAsia="Songti SC"/>
          <w:b w:val="0"/>
          <w:i w:val="0"/>
          <w:sz w:val="21"/>
        </w:rPr>
        <w:t>前几章介绍的是单步操作。当研究进入需要多步骤串联的阶段时,可使用流程编排;当内置能力不足时,可通过 skill 与 MCP 扩展。</w:t>
      </w:r>
    </w:p>
    <w:p>
      <w:pPr>
        <w:pStyle w:val="Heading2"/>
        <w:spacing w:before="240" w:after="160"/>
      </w:pPr>
      <w:r>
        <w:rPr>
          <w:rFonts w:ascii="Heiti SC" w:hAnsi="Heiti SC" w:eastAsia="Heiti SC"/>
          <w:b/>
          <w:color w:val="1A1A1A"/>
          <w:sz w:val="28"/>
        </w:rPr>
        <w:t>6.1　四类研究流程</w:t>
      </w:r>
    </w:p>
    <w:p>
      <w:pPr>
        <w:spacing w:after="120" w:line="360" w:lineRule="auto"/>
      </w:pPr>
      <w:r>
        <w:rPr>
          <w:rFonts w:ascii="Songti SC" w:hAnsi="Songti SC" w:eastAsia="Songti SC"/>
          <w:b w:val="0"/>
          <w:i w:val="0"/>
          <w:sz w:val="21"/>
        </w:rPr>
        <w:t>流程会自动串联「设计 → 执行 → 产出 → 评审」各环节,并在每个环节留下可复现的记录。可在对话中直接说明,亦可在终端指定流程类型。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1474"/>
            <w:shd w:val="clear" w:fill="E8EDF3"/>
          </w:tcPr>
          <w:p>
            <w:r/>
            <w:r>
              <w:rPr>
                <w:rFonts w:ascii="Heiti SC" w:hAnsi="Heiti SC" w:eastAsia="Heiti SC"/>
                <w:b/>
                <w:sz w:val="19"/>
              </w:rPr>
              <w:t>流程</w:t>
            </w:r>
          </w:p>
        </w:tc>
        <w:tc>
          <w:tcPr>
            <w:tcW w:type="dxa" w:w="1928"/>
            <w:shd w:val="clear" w:fill="E8EDF3"/>
          </w:tcPr>
          <w:p>
            <w:r/>
            <w:r>
              <w:rPr>
                <w:rFonts w:ascii="Heiti SC" w:hAnsi="Heiti SC" w:eastAsia="Heiti SC"/>
                <w:b/>
                <w:sz w:val="19"/>
              </w:rPr>
              <w:t>适用研究类型</w:t>
            </w:r>
          </w:p>
        </w:tc>
        <w:tc>
          <w:tcPr>
            <w:tcW w:type="dxa" w:w="5102"/>
            <w:shd w:val="clear" w:fill="E8EDF3"/>
          </w:tcPr>
          <w:p>
            <w:r/>
            <w:r>
              <w:rPr>
                <w:rFonts w:ascii="Heiti SC" w:hAnsi="Heiti SC" w:eastAsia="Heiti SC"/>
                <w:b/>
                <w:sz w:val="19"/>
              </w:rPr>
              <w:t>主要环节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Songti SC" w:hAnsi="Songti SC" w:eastAsia="Songti SC"/>
                <w:sz w:val="18"/>
              </w:rPr>
              <w:t>analysis</w:t>
            </w:r>
          </w:p>
        </w:tc>
        <w:tc>
          <w:tcPr>
            <w:tcW w:type="dxa" w:w="1928"/>
          </w:tcPr>
          <w:p>
            <w:r/>
            <w:r>
              <w:rPr>
                <w:rFonts w:ascii="Songti SC" w:hAnsi="Songti SC" w:eastAsia="Songti SC"/>
                <w:sz w:val="18"/>
              </w:rPr>
              <w:t>实证数据分析</w:t>
            </w:r>
          </w:p>
        </w:tc>
        <w:tc>
          <w:tcPr>
            <w:tcW w:type="dxa" w:w="5102"/>
          </w:tcPr>
          <w:p>
            <w:r/>
            <w:r>
              <w:rPr>
                <w:rFonts w:ascii="Songti SC" w:hAnsi="Songti SC" w:eastAsia="Songti SC"/>
                <w:sz w:val="18"/>
              </w:rPr>
              <w:t>数据画像 → 设计核对 → 推荐分析并生成脚本 → 结果评审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Songti SC" w:hAnsi="Songti SC" w:eastAsia="Songti SC"/>
                <w:sz w:val="18"/>
              </w:rPr>
              <w:t>meta</w:t>
            </w:r>
          </w:p>
        </w:tc>
        <w:tc>
          <w:tcPr>
            <w:tcW w:type="dxa" w:w="1928"/>
          </w:tcPr>
          <w:p>
            <w:r/>
            <w:r>
              <w:rPr>
                <w:rFonts w:ascii="Songti SC" w:hAnsi="Songti SC" w:eastAsia="Songti SC"/>
                <w:sz w:val="18"/>
              </w:rPr>
              <w:t>元分析</w:t>
            </w:r>
          </w:p>
        </w:tc>
        <w:tc>
          <w:tcPr>
            <w:tcW w:type="dxa" w:w="5102"/>
          </w:tcPr>
          <w:p>
            <w:r/>
            <w:r>
              <w:rPr>
                <w:rFonts w:ascii="Songti SC" w:hAnsi="Songti SC" w:eastAsia="Songti SC"/>
                <w:sz w:val="18"/>
              </w:rPr>
              <w:t>效应量表校验 → 生成可复现脚本 → 撰写 → 评审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Songti SC" w:hAnsi="Songti SC" w:eastAsia="Songti SC"/>
                <w:sz w:val="18"/>
              </w:rPr>
              <w:t>literature</w:t>
            </w:r>
          </w:p>
        </w:tc>
        <w:tc>
          <w:tcPr>
            <w:tcW w:type="dxa" w:w="1928"/>
          </w:tcPr>
          <w:p>
            <w:r/>
            <w:r>
              <w:rPr>
                <w:rFonts w:ascii="Songti SC" w:hAnsi="Songti SC" w:eastAsia="Songti SC"/>
                <w:sz w:val="18"/>
              </w:rPr>
              <w:t>文献综述</w:t>
            </w:r>
          </w:p>
        </w:tc>
        <w:tc>
          <w:tcPr>
            <w:tcW w:type="dxa" w:w="5102"/>
          </w:tcPr>
          <w:p>
            <w:r/>
            <w:r>
              <w:rPr>
                <w:rFonts w:ascii="Songti SC" w:hAnsi="Songti SC" w:eastAsia="Songti SC"/>
                <w:sz w:val="18"/>
              </w:rPr>
              <w:t>研究准备 → 检索 → PRISMA 筛选 → 综述合成 → 评审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Songti SC" w:hAnsi="Songti SC" w:eastAsia="Songti SC"/>
                <w:sz w:val="18"/>
              </w:rPr>
              <w:t>qualitative</w:t>
            </w:r>
          </w:p>
        </w:tc>
        <w:tc>
          <w:tcPr>
            <w:tcW w:type="dxa" w:w="1928"/>
          </w:tcPr>
          <w:p>
            <w:r/>
            <w:r>
              <w:rPr>
                <w:rFonts w:ascii="Songti SC" w:hAnsi="Songti SC" w:eastAsia="Songti SC"/>
                <w:sz w:val="18"/>
              </w:rPr>
              <w:t>质性研究</w:t>
            </w:r>
          </w:p>
        </w:tc>
        <w:tc>
          <w:tcPr>
            <w:tcW w:type="dxa" w:w="5102"/>
          </w:tcPr>
          <w:p>
            <w:r/>
            <w:r>
              <w:rPr>
                <w:rFonts w:ascii="Songti SC" w:hAnsi="Songti SC" w:eastAsia="Songti SC"/>
                <w:sz w:val="18"/>
              </w:rPr>
              <w:t>载入转录稿 → 设计 → 主题分析 → COREQ 报告 → 评审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66"/>
      </w:tblGrid>
      <w:tr>
        <w:tc>
          <w:tcPr>
            <w:tcW w:type="dxa" w:w="9066"/>
            <w:shd w:val="clear" w:fill="EAF1F8"/>
          </w:tcPr>
          <w:p>
            <w:pPr>
              <w:spacing w:after="40"/>
            </w:pPr>
            <w:r/>
            <w:r>
              <w:rPr>
                <w:rFonts w:ascii="Heiti SC" w:hAnsi="Heiti SC" w:eastAsia="Heiti SC"/>
                <w:b/>
                <w:color w:val="1F4E79"/>
                <w:sz w:val="20"/>
              </w:rPr>
              <w:t>对话示例</w:t>
            </w:r>
          </w:p>
          <w:p>
            <w:pPr>
              <w:spacing w:after="20"/>
            </w:pPr>
            <w:r>
              <w:rPr>
                <w:rFonts w:ascii="Songti SC" w:hAnsi="Songti SC" w:eastAsia="Songti SC"/>
                <w:sz w:val="19"/>
              </w:rPr>
              <w:t>「帮我把这份数据的实证分析流程完整走一遍,数据在 data/clean/survey.csv」</w:t>
            </w:r>
          </w:p>
          <w:p>
            <w:pPr>
              <w:spacing w:after="20"/>
            </w:pPr>
            <w:r>
              <w:rPr>
                <w:rFonts w:ascii="Songti SC" w:hAnsi="Songti SC" w:eastAsia="Songti SC"/>
                <w:sz w:val="19"/>
              </w:rPr>
              <w:t>「我要做一个关于正念干预的元分析,效应量表已经整理好了」</w:t>
            </w:r>
          </w:p>
          <w:p>
            <w:pPr>
              <w:spacing w:after="20"/>
            </w:pPr>
            <w:r>
              <w:rPr>
                <w:rFonts w:ascii="Songti SC" w:hAnsi="Songti SC" w:eastAsia="Songti SC"/>
                <w:sz w:val="19"/>
              </w:rPr>
              <w:t>「帮我做工作倦怠这个主题的文献综述,要按 PRISMA 流程」</w:t>
            </w:r>
          </w:p>
        </w:tc>
      </w:tr>
    </w:tbl>
    <w:p>
      <w:pPr>
        <w:spacing w:after="80"/>
      </w:pPr>
    </w:p>
    <w:p>
      <w:pPr>
        <w:spacing w:after="40" w:line="360" w:lineRule="auto"/>
      </w:pPr>
      <w:r>
        <w:rPr>
          <w:rFonts w:ascii="Songti SC" w:hAnsi="Songti SC" w:eastAsia="Songti SC"/>
          <w:b w:val="0"/>
          <w:i w:val="0"/>
          <w:sz w:val="21"/>
        </w:rPr>
        <w:t>对应的终端形式(需要精确控制时使用):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66"/>
      </w:tblGrid>
      <w:tr>
        <w:tc>
          <w:tcPr>
            <w:tcW w:type="dxa" w:w="9066"/>
            <w:shd w:val="clear" w:fill="F2F2F2"/>
          </w:tcPr>
          <w:p>
            <w:pPr>
              <w:spacing w:after="0" w:line="276" w:lineRule="auto"/>
            </w:pPr>
            <w:r/>
            <w:r>
              <w:rPr>
                <w:rFonts w:ascii="Menlo" w:hAnsi="Menlo"/>
                <w:color w:val="444444"/>
                <w:sz w:val="18"/>
              </w:rPr>
              <w:t>psyclaw run analysis data/clean/survey.csv</w:t>
            </w:r>
          </w:p>
          <w:p>
            <w:pPr>
              <w:spacing w:after="0" w:line="276" w:lineRule="auto"/>
            </w:pPr>
            <w:r>
              <w:rPr>
                <w:rFonts w:ascii="Menlo" w:hAnsi="Menlo"/>
                <w:color w:val="444444"/>
                <w:sz w:val="18"/>
              </w:rPr>
              <w:t>psyclaw run literature --topic 工作倦怠与离职意向</w:t>
            </w:r>
          </w:p>
          <w:p>
            <w:pPr>
              <w:spacing w:after="0" w:line="276" w:lineRule="auto"/>
            </w:pPr>
            <w:r>
              <w:rPr>
                <w:rFonts w:ascii="Menlo" w:hAnsi="Menlo"/>
                <w:color w:val="444444"/>
                <w:sz w:val="18"/>
              </w:rPr>
              <w:t>psyclaw run qualitative data/transcripts/</w:t>
            </w:r>
          </w:p>
        </w:tc>
      </w:tr>
    </w:tbl>
    <w:p>
      <w:pPr>
        <w:spacing w:after="80"/>
      </w:pPr>
    </w:p>
    <w:p>
      <w:pPr>
        <w:spacing w:after="120" w:line="360" w:lineRule="auto"/>
      </w:pPr>
      <w:r>
        <w:rPr>
          <w:rFonts w:ascii="Songti SC" w:hAnsi="Songti SC" w:eastAsia="Songti SC"/>
          <w:b w:val="0"/>
          <w:i w:val="0"/>
          <w:sz w:val="21"/>
        </w:rPr>
        <w:t>三个常用选项:--confirm-each 在每步完成后暂停确认;--resume 从上次中断处继续;--exploratory 允许跳过未完成的前置检查,产出将被明确标注为探索性。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66"/>
      </w:tblGrid>
      <w:tr>
        <w:tc>
          <w:tcPr>
            <w:tcW w:type="dxa" w:w="9066"/>
            <w:shd w:val="clear" w:fill="EAF1F8"/>
          </w:tcPr>
          <w:p>
            <w:pPr>
              <w:spacing w:after="40"/>
            </w:pPr>
            <w:r/>
            <w:r>
              <w:rPr>
                <w:rFonts w:ascii="Heiti SC" w:hAnsi="Heiti SC" w:eastAsia="Heiti SC"/>
                <w:b/>
                <w:color w:val="1F4E79"/>
                <w:sz w:val="20"/>
              </w:rPr>
              <w:t>关于自动推进</w:t>
            </w:r>
          </w:p>
          <w:p>
            <w:pPr>
              <w:spacing w:after="20"/>
            </w:pPr>
            <w:r>
              <w:rPr>
                <w:rFonts w:ascii="Songti SC" w:hAnsi="Songti SC" w:eastAsia="Songti SC"/>
                <w:sz w:val="19"/>
              </w:rPr>
              <w:t>除上述四类流程外,还可让系统根据项目当前状态自主决定下一步:</w:t>
            </w:r>
          </w:p>
          <w:p>
            <w:pPr>
              <w:spacing w:after="20"/>
            </w:pPr>
            <w:r>
              <w:rPr>
                <w:rFonts w:ascii="Songti SC" w:hAnsi="Songti SC" w:eastAsia="Songti SC"/>
                <w:sz w:val="19"/>
              </w:rPr>
              <w:t>在对话中说明「按现在的进度继续推进」即可。</w:t>
            </w:r>
          </w:p>
          <w:p>
            <w:pPr>
              <w:spacing w:after="20"/>
            </w:pPr>
            <w:r>
              <w:rPr>
                <w:rFonts w:ascii="Songti SC" w:hAnsi="Songti SC" w:eastAsia="Songti SC"/>
                <w:sz w:val="19"/>
              </w:rPr>
              <w:t>强制性检查与不可逆决策仍会暂停并征求同意,不会一路跑到底。</w:t>
            </w:r>
          </w:p>
        </w:tc>
      </w:tr>
    </w:tbl>
    <w:p>
      <w:pPr>
        <w:spacing w:after="80"/>
      </w:pPr>
    </w:p>
    <w:p>
      <w:pPr>
        <w:pStyle w:val="Heading2"/>
        <w:spacing w:before="240" w:after="160"/>
      </w:pPr>
      <w:r>
        <w:rPr>
          <w:rFonts w:ascii="Heiti SC" w:hAnsi="Heiti SC" w:eastAsia="Heiti SC"/>
          <w:b/>
          <w:color w:val="1A1A1A"/>
          <w:sz w:val="28"/>
        </w:rPr>
        <w:t>6.2　skill:把方法学流程装进来</w:t>
      </w:r>
    </w:p>
    <w:p>
      <w:pPr>
        <w:spacing w:after="120" w:line="360" w:lineRule="auto"/>
      </w:pPr>
      <w:r>
        <w:rPr>
          <w:rFonts w:ascii="Songti SC" w:hAnsi="Songti SC" w:eastAsia="Songti SC"/>
          <w:b w:val="0"/>
          <w:i w:val="0"/>
          <w:sz w:val="21"/>
        </w:rPr>
        <w:t>skill 是一份结构化的方法学流程说明。系统内置若干 skill,在对话涉及相应主题时自动调用,无需手动指定。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2494"/>
            <w:shd w:val="clear" w:fill="E8EDF3"/>
          </w:tcPr>
          <w:p>
            <w:r/>
            <w:r>
              <w:rPr>
                <w:rFonts w:ascii="Heiti SC" w:hAnsi="Heiti SC" w:eastAsia="Heiti SC"/>
                <w:b/>
                <w:sz w:val="19"/>
              </w:rPr>
              <w:t>内置 skill</w:t>
            </w:r>
          </w:p>
        </w:tc>
        <w:tc>
          <w:tcPr>
            <w:tcW w:type="dxa" w:w="6123"/>
            <w:shd w:val="clear" w:fill="E8EDF3"/>
          </w:tcPr>
          <w:p>
            <w:r/>
            <w:r>
              <w:rPr>
                <w:rFonts w:ascii="Heiti SC" w:hAnsi="Heiti SC" w:eastAsia="Heiti SC"/>
                <w:b/>
                <w:sz w:val="19"/>
              </w:rPr>
              <w:t>用途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Songti SC" w:hAnsi="Songti SC" w:eastAsia="Songti SC"/>
                <w:sz w:val="18"/>
              </w:rPr>
              <w:t>nature-review</w:t>
            </w:r>
          </w:p>
        </w:tc>
        <w:tc>
          <w:tcPr>
            <w:tcW w:type="dxa" w:w="6123"/>
          </w:tcPr>
          <w:p>
            <w:r/>
            <w:r>
              <w:rPr>
                <w:rFonts w:ascii="Songti SC" w:hAnsi="Songti SC" w:eastAsia="Songti SC"/>
                <w:sz w:val="18"/>
              </w:rPr>
              <w:t>Nature 级同行评审与回复信撰写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Songti SC" w:hAnsi="Songti SC" w:eastAsia="Songti SC"/>
                <w:sz w:val="18"/>
              </w:rPr>
              <w:t>sample-size</w:t>
            </w:r>
          </w:p>
        </w:tc>
        <w:tc>
          <w:tcPr>
            <w:tcW w:type="dxa" w:w="6123"/>
          </w:tcPr>
          <w:p>
            <w:r/>
            <w:r>
              <w:rPr>
                <w:rFonts w:ascii="Songti SC" w:hAnsi="Songti SC" w:eastAsia="Songti SC"/>
                <w:sz w:val="18"/>
              </w:rPr>
              <w:t>样本量估算(功效分析)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Songti SC" w:hAnsi="Songti SC" w:eastAsia="Songti SC"/>
                <w:sz w:val="18"/>
              </w:rPr>
              <w:t>confound-control</w:t>
            </w:r>
          </w:p>
        </w:tc>
        <w:tc>
          <w:tcPr>
            <w:tcW w:type="dxa" w:w="6123"/>
          </w:tcPr>
          <w:p>
            <w:r/>
            <w:r>
              <w:rPr>
                <w:rFonts w:ascii="Songti SC" w:hAnsi="Songti SC" w:eastAsia="Songti SC"/>
                <w:sz w:val="18"/>
              </w:rPr>
              <w:t>无关变量与混淆变量的控制流程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Songti SC" w:hAnsi="Songti SC" w:eastAsia="Songti SC"/>
                <w:sz w:val="18"/>
              </w:rPr>
              <w:t>analysis-planning</w:t>
            </w:r>
          </w:p>
        </w:tc>
        <w:tc>
          <w:tcPr>
            <w:tcW w:type="dxa" w:w="6123"/>
          </w:tcPr>
          <w:p>
            <w:r/>
            <w:r>
              <w:rPr>
                <w:rFonts w:ascii="Songti SC" w:hAnsi="Songti SC" w:eastAsia="Songti SC"/>
                <w:sz w:val="18"/>
              </w:rPr>
              <w:t>实证分析计划制定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Songti SC" w:hAnsi="Songti SC" w:eastAsia="Songti SC"/>
                <w:sz w:val="18"/>
              </w:rPr>
              <w:t>lit-review</w:t>
            </w:r>
          </w:p>
        </w:tc>
        <w:tc>
          <w:tcPr>
            <w:tcW w:type="dxa" w:w="6123"/>
          </w:tcPr>
          <w:p>
            <w:r/>
            <w:r>
              <w:rPr>
                <w:rFonts w:ascii="Songti SC" w:hAnsi="Songti SC" w:eastAsia="Songti SC"/>
                <w:sz w:val="18"/>
              </w:rPr>
              <w:t>文献综述与证据合成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Songti SC" w:hAnsi="Songti SC" w:eastAsia="Songti SC"/>
                <w:sz w:val="18"/>
              </w:rPr>
              <w:t>pingouin</w:t>
            </w:r>
          </w:p>
        </w:tc>
        <w:tc>
          <w:tcPr>
            <w:tcW w:type="dxa" w:w="6123"/>
          </w:tcPr>
          <w:p>
            <w:r/>
            <w:r>
              <w:rPr>
                <w:rFonts w:ascii="Songti SC" w:hAnsi="Songti SC" w:eastAsia="Songti SC"/>
                <w:sz w:val="18"/>
              </w:rPr>
              <w:t>统计函数选择指南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Songti SC" w:hAnsi="Songti SC" w:eastAsia="Songti SC"/>
                <w:sz w:val="18"/>
              </w:rPr>
              <w:t>paper-review-gates</w:t>
            </w:r>
          </w:p>
        </w:tc>
        <w:tc>
          <w:tcPr>
            <w:tcW w:type="dxa" w:w="6123"/>
          </w:tcPr>
          <w:p>
            <w:r/>
            <w:r>
              <w:rPr>
                <w:rFonts w:ascii="Songti SC" w:hAnsi="Songti SC" w:eastAsia="Songti SC"/>
                <w:sz w:val="18"/>
              </w:rPr>
              <w:t>稿件评审与质量把关</w:t>
            </w:r>
          </w:p>
        </w:tc>
      </w:tr>
    </w:tbl>
    <w:p>
      <w:pPr>
        <w:spacing w:after="80"/>
      </w:pPr>
    </w:p>
    <w:p>
      <w:pPr>
        <w:spacing w:after="40" w:line="360" w:lineRule="auto"/>
      </w:pPr>
      <w:r>
        <w:rPr>
          <w:rFonts w:ascii="Songti SC" w:hAnsi="Songti SC" w:eastAsia="Songti SC"/>
          <w:b w:val="0"/>
          <w:i w:val="0"/>
          <w:sz w:val="21"/>
        </w:rPr>
        <w:t>亦可安装第三方 skill。在终端执行: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66"/>
      </w:tblGrid>
      <w:tr>
        <w:tc>
          <w:tcPr>
            <w:tcW w:type="dxa" w:w="9066"/>
            <w:shd w:val="clear" w:fill="F2F2F2"/>
          </w:tcPr>
          <w:p>
            <w:pPr>
              <w:spacing w:after="0" w:line="276" w:lineRule="auto"/>
            </w:pPr>
            <w:r/>
            <w:r>
              <w:rPr>
                <w:rFonts w:ascii="Menlo" w:hAnsi="Menlo"/>
                <w:color w:val="444444"/>
                <w:sz w:val="18"/>
              </w:rPr>
              <w:t>psyclaw skill install https://github.com/用户名/仓库名</w:t>
            </w:r>
          </w:p>
        </w:tc>
      </w:tr>
    </w:tbl>
    <w:p>
      <w:pPr>
        <w:spacing w:after="80"/>
      </w:pPr>
    </w:p>
    <w:p>
      <w:pPr>
        <w:spacing w:after="120" w:line="360" w:lineRule="auto"/>
      </w:pPr>
      <w:r>
        <w:rPr>
          <w:rFonts w:ascii="Songti SC" w:hAnsi="Songti SC" w:eastAsia="Songti SC"/>
          <w:b w:val="0"/>
          <w:i w:val="0"/>
          <w:sz w:val="21"/>
        </w:rPr>
        <w:t>安装后的 skill 位于项目的 .claude/skills 目录,系统会自动发现并纳入调用范围。查看当前已装载的 skill,在对话中询问即可。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66"/>
      </w:tblGrid>
      <w:tr>
        <w:tc>
          <w:tcPr>
            <w:tcW w:type="dxa" w:w="9066"/>
            <w:shd w:val="clear" w:fill="FBF3E2"/>
          </w:tcPr>
          <w:p>
            <w:pPr>
              <w:spacing w:after="40"/>
            </w:pPr>
            <w:r/>
            <w:r>
              <w:rPr>
                <w:rFonts w:ascii="Heiti SC" w:hAnsi="Heiti SC" w:eastAsia="Heiti SC"/>
                <w:b/>
                <w:color w:val="8A5A00"/>
                <w:sz w:val="20"/>
              </w:rPr>
              <w:t>安全提示</w:t>
            </w:r>
          </w:p>
          <w:p>
            <w:pPr>
              <w:spacing w:after="20"/>
            </w:pPr>
            <w:r>
              <w:rPr>
                <w:rFonts w:ascii="Songti SC" w:hAnsi="Songti SC" w:eastAsia="Songti SC"/>
                <w:sz w:val="19"/>
              </w:rPr>
              <w:t>skill 安装仅接受 https 协议的 GitHub 地址。</w:t>
            </w:r>
          </w:p>
          <w:p>
            <w:pPr>
              <w:spacing w:after="20"/>
            </w:pPr>
            <w:r>
              <w:rPr>
                <w:rFonts w:ascii="Songti SC" w:hAnsi="Songti SC" w:eastAsia="Songti SC"/>
                <w:sz w:val="19"/>
              </w:rPr>
              <w:t>第三方 skill 的内容会进入系统提示并影响模型行为,</w:t>
            </w:r>
          </w:p>
          <w:p>
            <w:pPr>
              <w:spacing w:after="20"/>
            </w:pPr>
            <w:r>
              <w:rPr>
                <w:rFonts w:ascii="Songti SC" w:hAnsi="Songti SC" w:eastAsia="Songti SC"/>
                <w:sz w:val="19"/>
              </w:rPr>
              <w:t>请确认来源可信后再安装。</w:t>
            </w:r>
          </w:p>
        </w:tc>
      </w:tr>
    </w:tbl>
    <w:p>
      <w:pPr>
        <w:spacing w:after="80"/>
      </w:pPr>
    </w:p>
    <w:p>
      <w:pPr>
        <w:pStyle w:val="Heading2"/>
        <w:spacing w:before="240" w:after="160"/>
      </w:pPr>
      <w:r>
        <w:rPr>
          <w:rFonts w:ascii="Heiti SC" w:hAnsi="Heiti SC" w:eastAsia="Heiti SC"/>
          <w:b/>
          <w:color w:val="1A1A1A"/>
          <w:sz w:val="28"/>
        </w:rPr>
        <w:t>6.3　MCP:接入外部统计软件与服务</w:t>
      </w:r>
    </w:p>
    <w:p>
      <w:pPr>
        <w:spacing w:after="120" w:line="360" w:lineRule="auto"/>
      </w:pPr>
      <w:r>
        <w:rPr>
          <w:rFonts w:ascii="Songti SC" w:hAnsi="Songti SC" w:eastAsia="Songti SC"/>
          <w:b w:val="0"/>
          <w:i w:val="0"/>
          <w:sz w:val="21"/>
        </w:rPr>
        <w:t>MCP(Model Context Protocol)用于把外部工具接入对话。配置完成后,这些工具与内置能力一样可被直接调用。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2948"/>
            <w:shd w:val="clear" w:fill="E8EDF3"/>
          </w:tcPr>
          <w:p>
            <w:r/>
            <w:r>
              <w:rPr>
                <w:rFonts w:ascii="Heiti SC" w:hAnsi="Heiti SC" w:eastAsia="Heiti SC"/>
                <w:b/>
                <w:sz w:val="19"/>
              </w:rPr>
              <w:t>MCP 服务</w:t>
            </w:r>
          </w:p>
        </w:tc>
        <w:tc>
          <w:tcPr>
            <w:tcW w:type="dxa" w:w="5669"/>
            <w:shd w:val="clear" w:fill="E8EDF3"/>
          </w:tcPr>
          <w:p>
            <w:r/>
            <w:r>
              <w:rPr>
                <w:rFonts w:ascii="Heiti SC" w:hAnsi="Heiti SC" w:eastAsia="Heiti SC"/>
                <w:b/>
                <w:sz w:val="19"/>
              </w:rPr>
              <w:t>用途</w:t>
            </w:r>
          </w:p>
        </w:tc>
      </w:tr>
      <w:tr>
        <w:tc>
          <w:tcPr>
            <w:tcW w:type="dxa" w:w="2948"/>
          </w:tcPr>
          <w:p>
            <w:r/>
            <w:r>
              <w:rPr>
                <w:rFonts w:ascii="Songti SC" w:hAnsi="Songti SC" w:eastAsia="Songti SC"/>
                <w:sz w:val="18"/>
              </w:rPr>
              <w:t>pystat</w:t>
            </w:r>
          </w:p>
        </w:tc>
        <w:tc>
          <w:tcPr>
            <w:tcW w:type="dxa" w:w="5669"/>
          </w:tcPr>
          <w:p>
            <w:r/>
            <w:r>
              <w:rPr>
                <w:rFonts w:ascii="Songti SC" w:hAnsi="Songti SC" w:eastAsia="Songti SC"/>
                <w:sz w:val="18"/>
              </w:rPr>
              <w:t>Python 统计计算(psyclaw 的统计委托通道)</w:t>
            </w:r>
          </w:p>
        </w:tc>
      </w:tr>
      <w:tr>
        <w:tc>
          <w:tcPr>
            <w:tcW w:type="dxa" w:w="2948"/>
          </w:tcPr>
          <w:p>
            <w:r/>
            <w:r>
              <w:rPr>
                <w:rFonts w:ascii="Songti SC" w:hAnsi="Songti SC" w:eastAsia="Songti SC"/>
                <w:sz w:val="18"/>
              </w:rPr>
              <w:t>r-mcp</w:t>
            </w:r>
          </w:p>
        </w:tc>
        <w:tc>
          <w:tcPr>
            <w:tcW w:type="dxa" w:w="5669"/>
          </w:tcPr>
          <w:p>
            <w:r/>
            <w:r>
              <w:rPr>
                <w:rFonts w:ascii="Songti SC" w:hAnsi="Songti SC" w:eastAsia="Songti SC"/>
                <w:sz w:val="18"/>
              </w:rPr>
              <w:t>调用本机 R 环境</w:t>
            </w:r>
          </w:p>
        </w:tc>
      </w:tr>
      <w:tr>
        <w:tc>
          <w:tcPr>
            <w:tcW w:type="dxa" w:w="2948"/>
          </w:tcPr>
          <w:p>
            <w:r/>
            <w:r>
              <w:rPr>
                <w:rFonts w:ascii="Songti SC" w:hAnsi="Songti SC" w:eastAsia="Songti SC"/>
                <w:sz w:val="18"/>
              </w:rPr>
              <w:t>spss-mcp / stata-mcp / mplus-mcp</w:t>
            </w:r>
          </w:p>
        </w:tc>
        <w:tc>
          <w:tcPr>
            <w:tcW w:type="dxa" w:w="5669"/>
          </w:tcPr>
          <w:p>
            <w:r/>
            <w:r>
              <w:rPr>
                <w:rFonts w:ascii="Songti SC" w:hAnsi="Songti SC" w:eastAsia="Songti SC"/>
                <w:sz w:val="18"/>
              </w:rPr>
              <w:t>调用 SPSS、Stata、Mplus</w:t>
            </w:r>
          </w:p>
        </w:tc>
      </w:tr>
      <w:tr>
        <w:tc>
          <w:tcPr>
            <w:tcW w:type="dxa" w:w="2948"/>
          </w:tcPr>
          <w:p>
            <w:r/>
            <w:r>
              <w:rPr>
                <w:rFonts w:ascii="Songti SC" w:hAnsi="Songti SC" w:eastAsia="Songti SC"/>
                <w:sz w:val="18"/>
              </w:rPr>
              <w:t>mne-mcp</w:t>
            </w:r>
          </w:p>
        </w:tc>
        <w:tc>
          <w:tcPr>
            <w:tcW w:type="dxa" w:w="5669"/>
          </w:tcPr>
          <w:p>
            <w:r/>
            <w:r>
              <w:rPr>
                <w:rFonts w:ascii="Songti SC" w:hAnsi="Songti SC" w:eastAsia="Songti SC"/>
                <w:sz w:val="18"/>
              </w:rPr>
              <w:t>脑电与脑磁数据处理</w:t>
            </w:r>
          </w:p>
        </w:tc>
      </w:tr>
      <w:tr>
        <w:tc>
          <w:tcPr>
            <w:tcW w:type="dxa" w:w="2948"/>
          </w:tcPr>
          <w:p>
            <w:r/>
            <w:r>
              <w:rPr>
                <w:rFonts w:ascii="Songti SC" w:hAnsi="Songti SC" w:eastAsia="Songti SC"/>
                <w:sz w:val="18"/>
              </w:rPr>
              <w:t>zotero-mcp</w:t>
            </w:r>
          </w:p>
        </w:tc>
        <w:tc>
          <w:tcPr>
            <w:tcW w:type="dxa" w:w="5669"/>
          </w:tcPr>
          <w:p>
            <w:r/>
            <w:r>
              <w:rPr>
                <w:rFonts w:ascii="Songti SC" w:hAnsi="Songti SC" w:eastAsia="Songti SC"/>
                <w:sz w:val="18"/>
              </w:rPr>
              <w:t>Zotero 文献管理</w:t>
            </w:r>
          </w:p>
        </w:tc>
      </w:tr>
      <w:tr>
        <w:tc>
          <w:tcPr>
            <w:tcW w:type="dxa" w:w="2948"/>
          </w:tcPr>
          <w:p>
            <w:r/>
            <w:r>
              <w:rPr>
                <w:rFonts w:ascii="Songti SC" w:hAnsi="Songti SC" w:eastAsia="Songti SC"/>
                <w:sz w:val="18"/>
              </w:rPr>
              <w:t>osf-mcp</w:t>
            </w:r>
          </w:p>
        </w:tc>
        <w:tc>
          <w:tcPr>
            <w:tcW w:type="dxa" w:w="5669"/>
          </w:tcPr>
          <w:p>
            <w:r/>
            <w:r>
              <w:rPr>
                <w:rFonts w:ascii="Songti SC" w:hAnsi="Songti SC" w:eastAsia="Songti SC"/>
                <w:sz w:val="18"/>
              </w:rPr>
              <w:t>OSF 预注册与资料托管</w:t>
            </w:r>
          </w:p>
        </w:tc>
      </w:tr>
      <w:tr>
        <w:tc>
          <w:tcPr>
            <w:tcW w:type="dxa" w:w="2948"/>
          </w:tcPr>
          <w:p>
            <w:r/>
            <w:r>
              <w:rPr>
                <w:rFonts w:ascii="Songti SC" w:hAnsi="Songti SC" w:eastAsia="Songti SC"/>
                <w:sz w:val="18"/>
              </w:rPr>
              <w:t>sequential-thinking</w:t>
            </w:r>
          </w:p>
        </w:tc>
        <w:tc>
          <w:tcPr>
            <w:tcW w:type="dxa" w:w="5669"/>
          </w:tcPr>
          <w:p>
            <w:r/>
            <w:r>
              <w:rPr>
                <w:rFonts w:ascii="Songti SC" w:hAnsi="Songti SC" w:eastAsia="Songti SC"/>
                <w:sz w:val="18"/>
              </w:rPr>
              <w:t>复杂问题的分步推理</w:t>
            </w:r>
          </w:p>
        </w:tc>
      </w:tr>
    </w:tbl>
    <w:p>
      <w:pPr>
        <w:spacing w:after="80"/>
      </w:pPr>
    </w:p>
    <w:p>
      <w:pPr>
        <w:spacing w:after="40" w:line="360" w:lineRule="auto"/>
      </w:pPr>
      <w:r>
        <w:rPr>
          <w:rFonts w:ascii="Songti SC" w:hAnsi="Songti SC" w:eastAsia="Songti SC"/>
          <w:b w:val="0"/>
          <w:i w:val="0"/>
          <w:sz w:val="21"/>
        </w:rPr>
        <w:t>查看目录与启用状态: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66"/>
      </w:tblGrid>
      <w:tr>
        <w:tc>
          <w:tcPr>
            <w:tcW w:type="dxa" w:w="9066"/>
            <w:shd w:val="clear" w:fill="F2F2F2"/>
          </w:tcPr>
          <w:p>
            <w:pPr>
              <w:spacing w:after="0" w:line="276" w:lineRule="auto"/>
            </w:pPr>
            <w:r/>
            <w:r>
              <w:rPr>
                <w:rFonts w:ascii="Menlo" w:hAnsi="Menlo"/>
                <w:color w:val="444444"/>
                <w:sz w:val="18"/>
              </w:rPr>
              <w:t>psyclaw mcp        # 查看 MCP 目录与当前启用状态</w:t>
            </w:r>
          </w:p>
          <w:p>
            <w:pPr>
              <w:spacing w:after="0" w:line="276" w:lineRule="auto"/>
            </w:pPr>
            <w:r>
              <w:rPr>
                <w:rFonts w:ascii="Menlo" w:hAnsi="Menlo"/>
                <w:color w:val="444444"/>
                <w:sz w:val="18"/>
              </w:rPr>
              <w:t>psyclaw config     # 配置向导中可完成密钥与路径设置</w:t>
            </w:r>
          </w:p>
        </w:tc>
      </w:tr>
    </w:tbl>
    <w:p>
      <w:pPr>
        <w:spacing w:after="80"/>
      </w:pPr>
    </w:p>
    <w:p>
      <w:pPr>
        <w:spacing w:after="120" w:line="360" w:lineRule="auto"/>
      </w:pPr>
      <w:r>
        <w:rPr>
          <w:rFonts w:ascii="Songti SC" w:hAnsi="Songti SC" w:eastAsia="Songti SC"/>
          <w:b w:val="0"/>
          <w:i w:val="0"/>
          <w:sz w:val="21"/>
        </w:rPr>
        <w:t>已有 SPSS、Mplus 使用习惯的研究者,可通过对应 MCP 继续使用原有软件,由 PsyClaw 负责流程串联与结果归档。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66"/>
      </w:tblGrid>
      <w:tr>
        <w:tc>
          <w:tcPr>
            <w:tcW w:type="dxa" w:w="9066"/>
            <w:shd w:val="clear" w:fill="EAF5EE"/>
          </w:tcPr>
          <w:p>
            <w:pPr>
              <w:spacing w:after="40"/>
            </w:pPr>
            <w:r/>
            <w:r>
              <w:rPr>
                <w:rFonts w:ascii="Heiti SC" w:hAnsi="Heiti SC" w:eastAsia="Heiti SC"/>
                <w:b/>
                <w:color w:val="1E6B3A"/>
                <w:sz w:val="20"/>
              </w:rPr>
              <w:t>实用建议</w:t>
            </w:r>
          </w:p>
          <w:p>
            <w:pPr>
              <w:spacing w:after="20"/>
            </w:pPr>
            <w:r>
              <w:rPr>
                <w:rFonts w:ascii="Songti SC" w:hAnsi="Songti SC" w:eastAsia="Songti SC"/>
                <w:sz w:val="19"/>
              </w:rPr>
              <w:t>MCP 采用惰性加载:未实际调用时不会占用上下文,</w:t>
            </w:r>
          </w:p>
          <w:p>
            <w:pPr>
              <w:spacing w:after="20"/>
            </w:pPr>
            <w:r>
              <w:rPr>
                <w:rFonts w:ascii="Songti SC" w:hAnsi="Songti SC" w:eastAsia="Songti SC"/>
                <w:sz w:val="19"/>
              </w:rPr>
              <w:t>因此可以按需配置多个而不必担心影响日常对话的响应速度。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spacing w:before="360" w:after="160"/>
      </w:pPr>
      <w:r>
        <w:rPr>
          <w:rFonts w:ascii="Heiti SC" w:hAnsi="Heiti SC" w:eastAsia="Heiti SC"/>
          <w:b/>
          <w:color w:val="1A1A1A"/>
          <w:sz w:val="36"/>
        </w:rPr>
        <w:t>附录 A　常用表述速查</w:t>
      </w:r>
    </w:p>
    <w:p>
      <w:pPr>
        <w:spacing w:after="120" w:line="360" w:lineRule="auto"/>
      </w:pPr>
      <w:r>
        <w:rPr>
          <w:rFonts w:ascii="Songti SC" w:hAnsi="Songti SC" w:eastAsia="Songti SC"/>
          <w:b w:val="0"/>
          <w:i w:val="0"/>
          <w:sz w:val="21"/>
        </w:rPr>
        <w:t>下表左列为常见需求,右列为可直接采用的表述。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2494"/>
            <w:shd w:val="clear" w:fill="E8EDF3"/>
          </w:tcPr>
          <w:p>
            <w:r/>
            <w:r>
              <w:rPr>
                <w:rFonts w:ascii="Heiti SC" w:hAnsi="Heiti SC" w:eastAsia="Heiti SC"/>
                <w:b/>
                <w:sz w:val="19"/>
              </w:rPr>
              <w:t>想做的事</w:t>
            </w:r>
          </w:p>
        </w:tc>
        <w:tc>
          <w:tcPr>
            <w:tcW w:type="dxa" w:w="6123"/>
            <w:shd w:val="clear" w:fill="E8EDF3"/>
          </w:tcPr>
          <w:p>
            <w:r/>
            <w:r>
              <w:rPr>
                <w:rFonts w:ascii="Heiti SC" w:hAnsi="Heiti SC" w:eastAsia="Heiti SC"/>
                <w:b/>
                <w:sz w:val="19"/>
              </w:rPr>
              <w:t>可以这样说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Songti SC" w:hAnsi="Songti SC" w:eastAsia="Songti SC"/>
                <w:sz w:val="18"/>
              </w:rPr>
              <w:t>开始一个新研究</w:t>
            </w:r>
          </w:p>
        </w:tc>
        <w:tc>
          <w:tcPr>
            <w:tcW w:type="dxa" w:w="6123"/>
          </w:tcPr>
          <w:p>
            <w:r/>
            <w:r>
              <w:rPr>
                <w:rFonts w:ascii="Songti SC" w:hAnsi="Songti SC" w:eastAsia="Songti SC"/>
                <w:sz w:val="18"/>
              </w:rPr>
              <w:t>我要研究 X 对 Y 的影响,先把研究准备清单过一遍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Songti SC" w:hAnsi="Songti SC" w:eastAsia="Songti SC"/>
                <w:sz w:val="18"/>
              </w:rPr>
              <w:t>找文献</w:t>
            </w:r>
          </w:p>
        </w:tc>
        <w:tc>
          <w:tcPr>
            <w:tcW w:type="dxa" w:w="6123"/>
          </w:tcPr>
          <w:p>
            <w:r/>
            <w:r>
              <w:rPr>
                <w:rFonts w:ascii="Songti SC" w:hAnsi="Songti SC" w:eastAsia="Songti SC"/>
                <w:sz w:val="18"/>
              </w:rPr>
              <w:t>帮我找 X 近三年的研究,15 篇左右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Songti SC" w:hAnsi="Songti SC" w:eastAsia="Songti SC"/>
                <w:sz w:val="18"/>
              </w:rPr>
              <w:t>顺着引用找</w:t>
            </w:r>
          </w:p>
        </w:tc>
        <w:tc>
          <w:tcPr>
            <w:tcW w:type="dxa" w:w="6123"/>
          </w:tcPr>
          <w:p>
            <w:r/>
            <w:r>
              <w:rPr>
                <w:rFonts w:ascii="Songti SC" w:hAnsi="Songti SC" w:eastAsia="Songti SC"/>
                <w:sz w:val="18"/>
              </w:rPr>
              <w:t>帮我找找引用了这篇的后续研究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Songti SC" w:hAnsi="Songti SC" w:eastAsia="Songti SC"/>
                <w:sz w:val="18"/>
              </w:rPr>
              <w:t>下载全文</w:t>
            </w:r>
          </w:p>
        </w:tc>
        <w:tc>
          <w:tcPr>
            <w:tcW w:type="dxa" w:w="6123"/>
          </w:tcPr>
          <w:p>
            <w:r/>
            <w:r>
              <w:rPr>
                <w:rFonts w:ascii="Songti SC" w:hAnsi="Songti SC" w:eastAsia="Songti SC"/>
                <w:sz w:val="18"/>
              </w:rPr>
              <w:t>把上面这几篇下载下来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Songti SC" w:hAnsi="Songti SC" w:eastAsia="Songti SC"/>
                <w:sz w:val="18"/>
              </w:rPr>
              <w:t>用机构权限拿付费文章</w:t>
            </w:r>
          </w:p>
        </w:tc>
        <w:tc>
          <w:tcPr>
            <w:tcW w:type="dxa" w:w="6123"/>
          </w:tcPr>
          <w:p>
            <w:r/>
            <w:r>
              <w:rPr>
                <w:rFonts w:ascii="Songti SC" w:hAnsi="Songti SC" w:eastAsia="Songti SC"/>
                <w:sz w:val="18"/>
              </w:rPr>
              <w:t>这篇有付费墙,帮我走机构权限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Songti SC" w:hAnsi="Songti SC" w:eastAsia="Songti SC"/>
                <w:sz w:val="18"/>
              </w:rPr>
              <w:t>查我的 Zotero</w:t>
            </w:r>
          </w:p>
        </w:tc>
        <w:tc>
          <w:tcPr>
            <w:tcW w:type="dxa" w:w="6123"/>
          </w:tcPr>
          <w:p>
            <w:r/>
            <w:r>
              <w:rPr>
                <w:rFonts w:ascii="Songti SC" w:hAnsi="Songti SC" w:eastAsia="Songti SC"/>
                <w:sz w:val="18"/>
              </w:rPr>
              <w:t>先在我的 Zotero 里看看有没有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Songti SC" w:hAnsi="Songti SC" w:eastAsia="Songti SC"/>
                <w:sz w:val="18"/>
              </w:rPr>
              <w:t>核查引用真伪</w:t>
            </w:r>
          </w:p>
        </w:tc>
        <w:tc>
          <w:tcPr>
            <w:tcW w:type="dxa" w:w="6123"/>
          </w:tcPr>
          <w:p>
            <w:r/>
            <w:r>
              <w:rPr>
                <w:rFonts w:ascii="Songti SC" w:hAnsi="Songti SC" w:eastAsia="Songti SC"/>
                <w:sz w:val="18"/>
              </w:rPr>
              <w:t>核一下这稿子里的参考文献是不是都真实存在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Songti SC" w:hAnsi="Songti SC" w:eastAsia="Songti SC"/>
                <w:sz w:val="18"/>
              </w:rPr>
              <w:t>看数据情况</w:t>
            </w:r>
          </w:p>
        </w:tc>
        <w:tc>
          <w:tcPr>
            <w:tcW w:type="dxa" w:w="6123"/>
          </w:tcPr>
          <w:p>
            <w:r/>
            <w:r>
              <w:rPr>
                <w:rFonts w:ascii="Songti SC" w:hAnsi="Songti SC" w:eastAsia="Songti SC"/>
                <w:sz w:val="18"/>
              </w:rPr>
              <w:t>数据在这个文件,帮我看看什么情况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Songti SC" w:hAnsi="Songti SC" w:eastAsia="Songti SC"/>
                <w:sz w:val="18"/>
              </w:rPr>
              <w:t>量表计分</w:t>
            </w:r>
          </w:p>
        </w:tc>
        <w:tc>
          <w:tcPr>
            <w:tcW w:type="dxa" w:w="6123"/>
          </w:tcPr>
          <w:p>
            <w:r/>
            <w:r>
              <w:rPr>
                <w:rFonts w:ascii="Songti SC" w:hAnsi="Songti SC" w:eastAsia="Songti SC"/>
                <w:sz w:val="18"/>
              </w:rPr>
              <w:t>按这个量表的规则算总分,第 N 题是反向题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Songti SC" w:hAnsi="Songti SC" w:eastAsia="Songti SC"/>
                <w:sz w:val="18"/>
              </w:rPr>
              <w:t>做分析</w:t>
            </w:r>
          </w:p>
        </w:tc>
        <w:tc>
          <w:tcPr>
            <w:tcW w:type="dxa" w:w="6123"/>
          </w:tcPr>
          <w:p>
            <w:r/>
            <w:r>
              <w:rPr>
                <w:rFonts w:ascii="Songti SC" w:hAnsi="Songti SC" w:eastAsia="Songti SC"/>
                <w:sz w:val="18"/>
              </w:rPr>
              <w:t>帮我做个中介分析,自变量 X,中介 M,因变量 Y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Songti SC" w:hAnsi="Songti SC" w:eastAsia="Songti SC"/>
                <w:sz w:val="18"/>
              </w:rPr>
              <w:t>检查前提假设</w:t>
            </w:r>
          </w:p>
        </w:tc>
        <w:tc>
          <w:tcPr>
            <w:tcW w:type="dxa" w:w="6123"/>
          </w:tcPr>
          <w:p>
            <w:r/>
            <w:r>
              <w:rPr>
                <w:rFonts w:ascii="Songti SC" w:hAnsi="Songti SC" w:eastAsia="Songti SC"/>
                <w:sz w:val="18"/>
              </w:rPr>
              <w:t>这些数据适合做回归吗,前提假设满足吗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Songti SC" w:hAnsi="Songti SC" w:eastAsia="Songti SC"/>
                <w:sz w:val="18"/>
              </w:rPr>
              <w:t>写稿</w:t>
            </w:r>
          </w:p>
        </w:tc>
        <w:tc>
          <w:tcPr>
            <w:tcW w:type="dxa" w:w="6123"/>
          </w:tcPr>
          <w:p>
            <w:r/>
            <w:r>
              <w:rPr>
                <w:rFonts w:ascii="Songti SC" w:hAnsi="Songti SC" w:eastAsia="Songti SC"/>
                <w:sz w:val="18"/>
              </w:rPr>
              <w:t>根据分析结果帮我写方法部分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Songti SC" w:hAnsi="Songti SC" w:eastAsia="Songti SC"/>
                <w:sz w:val="18"/>
              </w:rPr>
              <w:t>润色</w:t>
            </w:r>
          </w:p>
        </w:tc>
        <w:tc>
          <w:tcPr>
            <w:tcW w:type="dxa" w:w="6123"/>
          </w:tcPr>
          <w:p>
            <w:r/>
            <w:r>
              <w:rPr>
                <w:rFonts w:ascii="Songti SC" w:hAnsi="Songti SC" w:eastAsia="Songti SC"/>
                <w:sz w:val="18"/>
              </w:rPr>
              <w:t>这段太啰嗦,精简到 150 字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Songti SC" w:hAnsi="Songti SC" w:eastAsia="Songti SC"/>
                <w:sz w:val="18"/>
              </w:rPr>
              <w:t>规范检查</w:t>
            </w:r>
          </w:p>
        </w:tc>
        <w:tc>
          <w:tcPr>
            <w:tcW w:type="dxa" w:w="6123"/>
          </w:tcPr>
          <w:p>
            <w:r/>
            <w:r>
              <w:rPr>
                <w:rFonts w:ascii="Songti SC" w:hAnsi="Songti SC" w:eastAsia="Songti SC"/>
                <w:sz w:val="18"/>
              </w:rPr>
              <w:t>按 APA 规范检查一下这份稿子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Songti SC" w:hAnsi="Songti SC" w:eastAsia="Songti SC"/>
                <w:sz w:val="18"/>
              </w:rPr>
              <w:t>模拟审稿</w:t>
            </w:r>
          </w:p>
        </w:tc>
        <w:tc>
          <w:tcPr>
            <w:tcW w:type="dxa" w:w="6123"/>
          </w:tcPr>
          <w:p>
            <w:r/>
            <w:r>
              <w:rPr>
                <w:rFonts w:ascii="Songti SC" w:hAnsi="Songti SC" w:eastAsia="Songti SC"/>
                <w:sz w:val="18"/>
              </w:rPr>
              <w:t>帮我审一下这篇,尽量挑刺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Songti SC" w:hAnsi="Songti SC" w:eastAsia="Songti SC"/>
                <w:sz w:val="18"/>
              </w:rPr>
              <w:t>画图</w:t>
            </w:r>
          </w:p>
        </w:tc>
        <w:tc>
          <w:tcPr>
            <w:tcW w:type="dxa" w:w="6123"/>
          </w:tcPr>
          <w:p>
            <w:r/>
            <w:r>
              <w:rPr>
                <w:rFonts w:ascii="Songti SC" w:hAnsi="Songti SC" w:eastAsia="Songti SC"/>
                <w:sz w:val="18"/>
              </w:rPr>
              <w:t>把这三组均值画成柱状图,APA 风格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Songti SC" w:hAnsi="Songti SC" w:eastAsia="Songti SC"/>
                <w:sz w:val="18"/>
              </w:rPr>
              <w:t>导出</w:t>
            </w:r>
          </w:p>
        </w:tc>
        <w:tc>
          <w:tcPr>
            <w:tcW w:type="dxa" w:w="6123"/>
          </w:tcPr>
          <w:p>
            <w:r/>
            <w:r>
              <w:rPr>
                <w:rFonts w:ascii="Songti SC" w:hAnsi="Songti SC" w:eastAsia="Songti SC"/>
                <w:sz w:val="18"/>
              </w:rPr>
              <w:t>导出成心理学报格式的 Word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Songti SC" w:hAnsi="Songti SC" w:eastAsia="Songti SC"/>
                <w:sz w:val="18"/>
              </w:rPr>
              <w:t>看进度</w:t>
            </w:r>
          </w:p>
        </w:tc>
        <w:tc>
          <w:tcPr>
            <w:tcW w:type="dxa" w:w="6123"/>
          </w:tcPr>
          <w:p>
            <w:r/>
            <w:r>
              <w:rPr>
                <w:rFonts w:ascii="Songti SC" w:hAnsi="Songti SC" w:eastAsia="Songti SC"/>
                <w:sz w:val="18"/>
              </w:rPr>
              <w:t>现在进展到哪了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Songti SC" w:hAnsi="Songti SC" w:eastAsia="Songti SC"/>
                <w:sz w:val="18"/>
              </w:rPr>
              <w:t>走完整分析流程</w:t>
            </w:r>
          </w:p>
        </w:tc>
        <w:tc>
          <w:tcPr>
            <w:tcW w:type="dxa" w:w="6123"/>
          </w:tcPr>
          <w:p>
            <w:r/>
            <w:r>
              <w:rPr>
                <w:rFonts w:ascii="Songti SC" w:hAnsi="Songti SC" w:eastAsia="Songti SC"/>
                <w:sz w:val="18"/>
              </w:rPr>
              <w:t>帮我把这份数据的实证分析流程完整走一遍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Songti SC" w:hAnsi="Songti SC" w:eastAsia="Songti SC"/>
                <w:sz w:val="18"/>
              </w:rPr>
              <w:t>做文献综述流程</w:t>
            </w:r>
          </w:p>
        </w:tc>
        <w:tc>
          <w:tcPr>
            <w:tcW w:type="dxa" w:w="6123"/>
          </w:tcPr>
          <w:p>
            <w:r/>
            <w:r>
              <w:rPr>
                <w:rFonts w:ascii="Songti SC" w:hAnsi="Songti SC" w:eastAsia="Songti SC"/>
                <w:sz w:val="18"/>
              </w:rPr>
              <w:t>帮我做这个主题的文献综述,按 PRISMA 流程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Songti SC" w:hAnsi="Songti SC" w:eastAsia="Songti SC"/>
                <w:sz w:val="18"/>
              </w:rPr>
              <w:t>自主推进</w:t>
            </w:r>
          </w:p>
        </w:tc>
        <w:tc>
          <w:tcPr>
            <w:tcW w:type="dxa" w:w="6123"/>
          </w:tcPr>
          <w:p>
            <w:r/>
            <w:r>
              <w:rPr>
                <w:rFonts w:ascii="Songti SC" w:hAnsi="Songti SC" w:eastAsia="Songti SC"/>
                <w:sz w:val="18"/>
              </w:rPr>
              <w:t>按现在的进度继续推进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Songti SC" w:hAnsi="Songti SC" w:eastAsia="Songti SC"/>
                <w:sz w:val="18"/>
              </w:rPr>
              <w:t>放宽审批</w:t>
            </w:r>
          </w:p>
        </w:tc>
        <w:tc>
          <w:tcPr>
            <w:tcW w:type="dxa" w:w="6123"/>
          </w:tcPr>
          <w:p>
            <w:r/>
            <w:r>
              <w:rPr>
                <w:rFonts w:ascii="Songti SC" w:hAnsi="Songti SC" w:eastAsia="Songti SC"/>
                <w:sz w:val="18"/>
              </w:rPr>
              <w:t>/approval auto(批量操作时用,完成后切回)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Songti SC" w:hAnsi="Songti SC" w:eastAsia="Songti SC"/>
                <w:sz w:val="18"/>
              </w:rPr>
              <w:t>收紧文件访问</w:t>
            </w:r>
          </w:p>
        </w:tc>
        <w:tc>
          <w:tcPr>
            <w:tcW w:type="dxa" w:w="6123"/>
          </w:tcPr>
          <w:p>
            <w:r/>
            <w:r>
              <w:rPr>
                <w:rFonts w:ascii="Songti SC" w:hAnsi="Songti SC" w:eastAsia="Songti SC"/>
                <w:sz w:val="18"/>
              </w:rPr>
              <w:t>/access safe(处理未公开数据时用)</w:t>
            </w:r>
          </w:p>
        </w:tc>
      </w:tr>
    </w:tbl>
    <w:p>
      <w:pPr>
        <w:spacing w:after="80"/>
      </w:pPr>
    </w:p>
    <w:p>
      <w:pPr>
        <w:pStyle w:val="Heading1"/>
        <w:spacing w:before="360" w:after="160"/>
      </w:pPr>
      <w:r>
        <w:rPr>
          <w:rFonts w:ascii="Heiti SC" w:hAnsi="Heiti SC" w:eastAsia="Heiti SC"/>
          <w:b/>
          <w:color w:val="1A1A1A"/>
          <w:sz w:val="36"/>
        </w:rPr>
        <w:t>附录 B　自定义量表配置</w:t>
      </w:r>
    </w:p>
    <w:p>
      <w:pPr>
        <w:spacing w:after="120" w:line="360" w:lineRule="auto"/>
      </w:pPr>
      <w:r>
        <w:rPr>
          <w:rFonts w:ascii="Songti SC" w:hAnsi="Songti SC" w:eastAsia="Songti SC"/>
          <w:b w:val="0"/>
          <w:i w:val="0"/>
          <w:sz w:val="21"/>
        </w:rPr>
        <w:t>PsyClaw 不内置量表库——常用量表版本众多、计分规则各异,内置不完整的量表库反而易致误用。研究者提供一次所用量表,此后持续可用。</w:t>
      </w:r>
    </w:p>
    <w:p>
      <w:pPr>
        <w:spacing w:after="40" w:line="360" w:lineRule="auto"/>
      </w:pPr>
      <w:r>
        <w:rPr>
          <w:rFonts w:ascii="Songti SC" w:hAnsi="Songti SC" w:eastAsia="Songti SC"/>
          <w:b w:val="0"/>
          <w:i w:val="0"/>
          <w:sz w:val="21"/>
        </w:rPr>
        <w:t>最简便的方式是在对话中直接说明: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66"/>
      </w:tblGrid>
      <w:tr>
        <w:tc>
          <w:tcPr>
            <w:tcW w:type="dxa" w:w="9066"/>
            <w:shd w:val="clear" w:fill="EAF1F8"/>
          </w:tcPr>
          <w:p>
            <w:pPr>
              <w:spacing w:after="40"/>
            </w:pPr>
            <w:r/>
            <w:r>
              <w:rPr>
                <w:rFonts w:ascii="Heiti SC" w:hAnsi="Heiti SC" w:eastAsia="Heiti SC"/>
                <w:b/>
                <w:color w:val="1F4E79"/>
                <w:sz w:val="20"/>
              </w:rPr>
              <w:t>对话示例</w:t>
            </w:r>
          </w:p>
          <w:p>
            <w:pPr>
              <w:spacing w:after="20"/>
            </w:pPr>
            <w:r>
              <w:rPr>
                <w:rFonts w:ascii="Songti SC" w:hAnsi="Songti SC" w:eastAsia="Songti SC"/>
                <w:sz w:val="19"/>
              </w:rPr>
              <w:t>「我要用 MBI 通用版,16 题,0–6 计分,第 13、14 题反向,分三个维度:情绪衰竭 1–5 题,玩世不恭 6–9 题,职业效能 10–16 题。帮我把它加到量表定义里」</w:t>
            </w:r>
          </w:p>
        </w:tc>
      </w:tr>
    </w:tbl>
    <w:p>
      <w:pPr>
        <w:spacing w:after="80"/>
      </w:pPr>
    </w:p>
    <w:p>
      <w:pPr>
        <w:spacing w:after="40" w:line="360" w:lineRule="auto"/>
      </w:pPr>
      <w:r>
        <w:rPr>
          <w:rFonts w:ascii="Songti SC" w:hAnsi="Songti SC" w:eastAsia="Songti SC"/>
          <w:b w:val="0"/>
          <w:i w:val="0"/>
          <w:sz w:val="21"/>
        </w:rPr>
        <w:t>系统将生成量表定义文件保存至项目中。亦可自行在 .psyclaw/scales/ 目录下编写,格式如下: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66"/>
      </w:tblGrid>
      <w:tr>
        <w:tc>
          <w:tcPr>
            <w:tcW w:type="dxa" w:w="9066"/>
            <w:shd w:val="clear" w:fill="F2F2F2"/>
          </w:tcPr>
          <w:p>
            <w:pPr>
              <w:spacing w:after="0" w:line="276" w:lineRule="auto"/>
            </w:pPr>
            <w:r/>
            <w:r>
              <w:rPr>
                <w:rFonts w:ascii="Menlo" w:hAnsi="Menlo"/>
                <w:color w:val="444444"/>
                <w:sz w:val="18"/>
              </w:rPr>
              <w:t>- id: mbi-gs</w:t>
            </w:r>
          </w:p>
          <w:p>
            <w:pPr>
              <w:spacing w:after="0" w:line="276" w:lineRule="auto"/>
            </w:pPr>
            <w:r>
              <w:rPr>
                <w:rFonts w:ascii="Menlo" w:hAnsi="Menlo"/>
                <w:color w:val="444444"/>
                <w:sz w:val="18"/>
              </w:rPr>
              <w:t xml:space="preserve">  name: Maslach 倦怠量表(通用版)</w:t>
            </w:r>
          </w:p>
          <w:p>
            <w:pPr>
              <w:spacing w:after="0" w:line="276" w:lineRule="auto"/>
            </w:pPr>
            <w:r>
              <w:rPr>
                <w:rFonts w:ascii="Menlo" w:hAnsi="Menlo"/>
                <w:color w:val="444444"/>
                <w:sz w:val="18"/>
              </w:rPr>
              <w:t xml:space="preserve">  items: 16</w:t>
            </w:r>
          </w:p>
          <w:p>
            <w:pPr>
              <w:spacing w:after="0" w:line="276" w:lineRule="auto"/>
            </w:pPr>
            <w:r>
              <w:rPr>
                <w:rFonts w:ascii="Menlo" w:hAnsi="Menlo"/>
                <w:color w:val="444444"/>
                <w:sz w:val="18"/>
              </w:rPr>
              <w:t xml:space="preserve">  scale_min: 0</w:t>
            </w:r>
          </w:p>
          <w:p>
            <w:pPr>
              <w:spacing w:after="0" w:line="276" w:lineRule="auto"/>
            </w:pPr>
            <w:r>
              <w:rPr>
                <w:rFonts w:ascii="Menlo" w:hAnsi="Menlo"/>
                <w:color w:val="444444"/>
                <w:sz w:val="18"/>
              </w:rPr>
              <w:t xml:space="preserve">  scale_max: 6</w:t>
            </w:r>
          </w:p>
          <w:p>
            <w:pPr>
              <w:spacing w:after="0" w:line="276" w:lineRule="auto"/>
            </w:pPr>
            <w:r>
              <w:rPr>
                <w:rFonts w:ascii="Menlo" w:hAnsi="Menlo"/>
                <w:color w:val="444444"/>
                <w:sz w:val="18"/>
              </w:rPr>
              <w:t xml:space="preserve">  reverse: [13, 14]</w:t>
            </w:r>
          </w:p>
          <w:p>
            <w:pPr>
              <w:spacing w:after="0" w:line="276" w:lineRule="auto"/>
            </w:pPr>
            <w:r>
              <w:rPr>
                <w:rFonts w:ascii="Menlo" w:hAnsi="Menlo"/>
                <w:color w:val="444444"/>
                <w:sz w:val="18"/>
              </w:rPr>
              <w:t xml:space="preserve">  subscales:</w:t>
            </w:r>
          </w:p>
          <w:p>
            <w:pPr>
              <w:spacing w:after="0" w:line="276" w:lineRule="auto"/>
            </w:pPr>
            <w:r>
              <w:rPr>
                <w:rFonts w:ascii="Menlo" w:hAnsi="Menlo"/>
                <w:color w:val="444444"/>
                <w:sz w:val="18"/>
              </w:rPr>
              <w:t xml:space="preserve">    情绪衰竭: [1, 2, 3, 4, 5]</w:t>
            </w:r>
          </w:p>
          <w:p>
            <w:pPr>
              <w:spacing w:after="0" w:line="276" w:lineRule="auto"/>
            </w:pPr>
            <w:r>
              <w:rPr>
                <w:rFonts w:ascii="Menlo" w:hAnsi="Menlo"/>
                <w:color w:val="444444"/>
                <w:sz w:val="18"/>
              </w:rPr>
              <w:t xml:space="preserve">    玩世不恭: [6, 7, 8, 9]</w:t>
            </w:r>
          </w:p>
          <w:p>
            <w:pPr>
              <w:spacing w:after="0" w:line="276" w:lineRule="auto"/>
            </w:pPr>
            <w:r>
              <w:rPr>
                <w:rFonts w:ascii="Menlo" w:hAnsi="Menlo"/>
                <w:color w:val="444444"/>
                <w:sz w:val="18"/>
              </w:rPr>
              <w:t xml:space="preserve">    职业效能: [10, 11, 12, 13, 14, 15, 16]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66"/>
      </w:tblGrid>
      <w:tr>
        <w:tc>
          <w:tcPr>
            <w:tcW w:type="dxa" w:w="9066"/>
            <w:shd w:val="clear" w:fill="EAF5EE"/>
          </w:tcPr>
          <w:p>
            <w:pPr>
              <w:spacing w:after="40"/>
            </w:pPr>
            <w:r/>
            <w:r>
              <w:rPr>
                <w:rFonts w:ascii="Heiti SC" w:hAnsi="Heiti SC" w:eastAsia="Heiti SC"/>
                <w:b/>
                <w:color w:val="1E6B3A"/>
                <w:sz w:val="20"/>
              </w:rPr>
              <w:t>实用建议</w:t>
            </w:r>
          </w:p>
          <w:p>
            <w:pPr>
              <w:spacing w:after="20"/>
            </w:pPr>
            <w:r>
              <w:rPr>
                <w:rFonts w:ascii="Songti SC" w:hAnsi="Songti SC" w:eastAsia="Songti SC"/>
                <w:sz w:val="19"/>
              </w:rPr>
              <w:t>量表定义编写一次即可跨研究复用。建议将课题组常用量表一次性配置完成,</w:t>
            </w:r>
          </w:p>
          <w:p>
            <w:pPr>
              <w:spacing w:after="20"/>
            </w:pPr>
            <w:r>
              <w:rPr>
                <w:rFonts w:ascii="Songti SC" w:hAnsi="Songti SC" w:eastAsia="Songti SC"/>
                <w:sz w:val="19"/>
              </w:rPr>
              <w:t>并在 name 字段注明所用中文修订版本及来源文献——</w:t>
            </w:r>
          </w:p>
          <w:p>
            <w:pPr>
              <w:spacing w:after="20"/>
            </w:pPr>
            <w:r>
              <w:rPr>
                <w:rFonts w:ascii="Songti SC" w:hAnsi="Songti SC" w:eastAsia="Songti SC"/>
                <w:sz w:val="19"/>
              </w:rPr>
              <w:t>撰写方法部分时需引用。</w:t>
            </w:r>
          </w:p>
        </w:tc>
      </w:tr>
    </w:tbl>
    <w:p>
      <w:pPr>
        <w:spacing w:after="80"/>
      </w:pPr>
    </w:p>
    <w:p>
      <w:pPr>
        <w:pStyle w:val="Heading1"/>
        <w:spacing w:before="360" w:after="160"/>
      </w:pPr>
      <w:r>
        <w:rPr>
          <w:rFonts w:ascii="Heiti SC" w:hAnsi="Heiti SC" w:eastAsia="Heiti SC"/>
          <w:b/>
          <w:color w:val="1A1A1A"/>
          <w:sz w:val="36"/>
        </w:rPr>
        <w:t>附录 C　常见问题</w:t>
      </w:r>
    </w:p>
    <w:p>
      <w:pPr>
        <w:spacing w:after="40" w:line="360" w:lineRule="auto"/>
      </w:pPr>
      <w:r>
        <w:rPr>
          <w:rFonts w:ascii="Songti SC" w:hAnsi="Songti SC" w:eastAsia="Songti SC"/>
          <w:b/>
          <w:i w:val="0"/>
          <w:sz w:val="21"/>
        </w:rPr>
        <w:t>问:一定要联网吗?</w:t>
      </w:r>
    </w:p>
    <w:p>
      <w:pPr>
        <w:spacing w:after="160" w:line="360" w:lineRule="auto"/>
      </w:pPr>
      <w:r>
        <w:rPr>
          <w:rFonts w:ascii="Songti SC" w:hAnsi="Songti SC" w:eastAsia="Songti SC"/>
          <w:b w:val="0"/>
          <w:i w:val="0"/>
          <w:sz w:val="21"/>
        </w:rPr>
        <w:t>答:文献检索与引用核查需联网;撰写、检查、导出、计分均可离线进行。调用模型本身需要网络连接。</w:t>
      </w:r>
    </w:p>
    <w:p>
      <w:pPr>
        <w:spacing w:after="40" w:line="360" w:lineRule="auto"/>
      </w:pPr>
      <w:r>
        <w:rPr>
          <w:rFonts w:ascii="Songti SC" w:hAnsi="Songti SC" w:eastAsia="Songti SC"/>
          <w:b/>
          <w:i w:val="0"/>
          <w:sz w:val="21"/>
        </w:rPr>
        <w:t>问:我的数据会被上传吗?</w:t>
      </w:r>
    </w:p>
    <w:p>
      <w:pPr>
        <w:spacing w:after="160" w:line="360" w:lineRule="auto"/>
      </w:pPr>
      <w:r>
        <w:rPr>
          <w:rFonts w:ascii="Songti SC" w:hAnsi="Songti SC" w:eastAsia="Songti SC"/>
          <w:b w:val="0"/>
          <w:i w:val="0"/>
          <w:sz w:val="21"/>
        </w:rPr>
        <w:t>答:PsyClaw 不会主动读取原始数据目录。在对话中明确指定读取的文件,其内容将随请求发送至所配置的模型服务——涉及被试隐私时请审慎处理,并确认符合伦理委员会要求。</w:t>
      </w:r>
    </w:p>
    <w:p>
      <w:pPr>
        <w:spacing w:after="40" w:line="360" w:lineRule="auto"/>
      </w:pPr>
      <w:r>
        <w:rPr>
          <w:rFonts w:ascii="Songti SC" w:hAnsi="Songti SC" w:eastAsia="Songti SC"/>
          <w:b/>
          <w:i w:val="0"/>
          <w:sz w:val="21"/>
        </w:rPr>
        <w:t>问:能替代 SPSS 或 JASP 吗?</w:t>
      </w:r>
    </w:p>
    <w:p>
      <w:pPr>
        <w:spacing w:after="160" w:line="360" w:lineRule="auto"/>
      </w:pPr>
      <w:r>
        <w:rPr>
          <w:rFonts w:ascii="Songti SC" w:hAnsi="Songti SC" w:eastAsia="Songti SC"/>
          <w:b w:val="0"/>
          <w:i w:val="0"/>
          <w:sz w:val="21"/>
        </w:rPr>
        <w:t>答:定位不同。其长处在于串联完整流程并留下可复现记录;点选式软件的即时探索体验则非其所长。二者可并行使用。</w:t>
      </w:r>
    </w:p>
    <w:p>
      <w:pPr>
        <w:spacing w:after="40" w:line="360" w:lineRule="auto"/>
      </w:pPr>
      <w:r>
        <w:rPr>
          <w:rFonts w:ascii="Songti SC" w:hAnsi="Songti SC" w:eastAsia="Songti SC"/>
          <w:b/>
          <w:i w:val="0"/>
          <w:sz w:val="21"/>
        </w:rPr>
        <w:t>问:生成的稿子能直接投吗?</w:t>
      </w:r>
    </w:p>
    <w:p>
      <w:pPr>
        <w:spacing w:after="160" w:line="360" w:lineRule="auto"/>
      </w:pPr>
      <w:r>
        <w:rPr>
          <w:rFonts w:ascii="Songti SC" w:hAnsi="Songti SC" w:eastAsia="Songti SC"/>
          <w:b w:val="0"/>
          <w:i w:val="0"/>
          <w:sz w:val="21"/>
        </w:rPr>
        <w:t>答:不能。全部统计解读与文献引用均须研究者本人复核。其价值在于将易错环节转化为可核验的流程,而非代为承担责任。</w:t>
      </w:r>
    </w:p>
    <w:p>
      <w:pPr>
        <w:spacing w:after="40" w:line="360" w:lineRule="auto"/>
      </w:pPr>
      <w:r>
        <w:rPr>
          <w:rFonts w:ascii="Songti SC" w:hAnsi="Songti SC" w:eastAsia="Songti SC"/>
          <w:b/>
          <w:i w:val="0"/>
          <w:sz w:val="21"/>
        </w:rPr>
        <w:t>问:它会不会编造文献?</w:t>
      </w:r>
    </w:p>
    <w:p>
      <w:pPr>
        <w:spacing w:after="160" w:line="360" w:lineRule="auto"/>
      </w:pPr>
      <w:r>
        <w:rPr>
          <w:rFonts w:ascii="Songti SC" w:hAnsi="Songti SC" w:eastAsia="Songti SC"/>
          <w:b w:val="0"/>
          <w:i w:val="0"/>
          <w:sz w:val="21"/>
        </w:rPr>
        <w:t>答:不会。检索失败时如实告知,并给出后续可行方案。交稿前可要求其将每条参考文献送数据库逐条核验。</w:t>
      </w:r>
    </w:p>
    <w:p>
      <w:pPr>
        <w:spacing w:after="40" w:line="360" w:lineRule="auto"/>
      </w:pPr>
      <w:r>
        <w:rPr>
          <w:rFonts w:ascii="Songti SC" w:hAnsi="Songti SC" w:eastAsia="Songti SC"/>
          <w:b/>
          <w:i w:val="0"/>
          <w:sz w:val="21"/>
        </w:rPr>
        <w:t>问:换电脑了怎么办?</w:t>
      </w:r>
    </w:p>
    <w:p>
      <w:pPr>
        <w:spacing w:after="160" w:line="360" w:lineRule="auto"/>
      </w:pPr>
      <w:r>
        <w:rPr>
          <w:rFonts w:ascii="Songti SC" w:hAnsi="Songti SC" w:eastAsia="Songti SC"/>
          <w:b w:val="0"/>
          <w:i w:val="0"/>
          <w:sz w:val="21"/>
        </w:rPr>
        <w:t>答:重新安装即可。配置与量表定义随项目目录保存,拷贝项目目录至新机器即可继续使用。</w:t>
      </w:r>
    </w:p>
    <w:p>
      <w:pPr>
        <w:spacing w:after="120" w:line="360" w:lineRule="auto"/>
        <w:jc w:val="center"/>
      </w:pPr>
      <w:r>
        <w:rPr>
          <w:rFonts w:ascii="Songti SC" w:hAnsi="Songti SC" w:eastAsia="Songti SC"/>
          <w:b w:val="0"/>
          <w:i w:val="0"/>
          <w:color w:val="444444"/>
          <w:sz w:val="19"/>
        </w:rPr>
        <w:t>PsyClaw v0.21.0 · 源码与问题反馈:https://github.com/Exekiel179/psyclaw · MIT 许可</w:t>
      </w:r>
    </w:p>
    <w:sectPr w:rsidR="00FC693F" w:rsidRPr="0006063C" w:rsidSect="00034616">
      <w:footerReference w:type="default" r:id="rId9"/>
      <w:pgSz w:w="12240" w:h="15840"/>
      <w:pgMar w:top="1361" w:right="1587" w:bottom="1361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ongti SC" w:hAnsi="Songti SC" w:eastAsia="Songti SC"/>
        <w:color w:val="888888"/>
        <w:sz w:val="16"/>
      </w:rPr>
      <w:t>PsyClaw 使用白皮书 · v0.21.0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ongti SC" w:hAnsi="Songti SC" w:eastAsia="Songti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