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40" w:line="360" w:lineRule="auto"/>
        <w:jc w:val="center"/>
      </w:pPr>
      <w:r>
        <w:rPr>
          <w:rFonts w:ascii="Heiti SC" w:hAnsi="Heiti SC" w:eastAsia="Heiti SC"/>
          <w:b/>
          <w:i w:val="0"/>
          <w:sz w:val="40"/>
        </w:rPr>
        <w:t>心理学研究者的</w:t>
      </w:r>
    </w:p>
    <w:p>
      <w:pPr>
        <w:spacing w:after="280" w:line="360" w:lineRule="auto"/>
        <w:jc w:val="center"/>
      </w:pPr>
      <w:r>
        <w:rPr>
          <w:rFonts w:ascii="Heiti SC" w:hAnsi="Heiti SC" w:eastAsia="Heiti SC"/>
          <w:b/>
          <w:i w:val="0"/>
          <w:sz w:val="56"/>
        </w:rPr>
        <w:t>PsyClaw 使用白皮书</w:t>
      </w:r>
    </w:p>
    <w:p>
      <w:pPr>
        <w:spacing w:after="80" w:line="360" w:lineRule="auto"/>
        <w:jc w:val="center"/>
      </w:pPr>
      <w:r>
        <w:rPr>
          <w:rFonts w:ascii="Songti SC" w:hAnsi="Songti SC" w:eastAsia="Songti SC"/>
          <w:b w:val="0"/>
          <w:i w:val="0"/>
          <w:sz w:val="26"/>
        </w:rPr>
        <w:t>以自然语言完成研究全流程</w:t>
      </w:r>
    </w:p>
    <w:p>
      <w:pPr>
        <w:spacing w:after="360" w:line="360" w:lineRule="auto"/>
        <w:jc w:val="center"/>
      </w:pPr>
      <w:r>
        <w:rPr>
          <w:rFonts w:ascii="Songti SC" w:hAnsi="Songti SC" w:eastAsia="Songti SC"/>
          <w:b w:val="0"/>
          <w:i w:val="0"/>
          <w:color w:val="444444"/>
          <w:sz w:val="24"/>
        </w:rPr>
        <w:t>—— 文献 · 统计分析 · 论文写作润色 ——</w:t>
      </w:r>
    </w:p>
    <w:p>
      <w:pPr>
        <w:spacing w:after="800" w:line="360" w:lineRule="auto"/>
        <w:jc w:val="center"/>
      </w:pPr>
      <w:r>
        <w:rPr>
          <w:rFonts w:ascii="Songti SC" w:hAnsi="Songti SC" w:eastAsia="Songti SC"/>
          <w:b w:val="0"/>
          <w:i w:val="0"/>
          <w:color w:val="1F4E79"/>
          <w:sz w:val="22"/>
        </w:rPr>
        <w:t>无需编程 · 无需记忆命令</w:t>
      </w:r>
    </w:p>
    <w:p>
      <w:pPr>
        <w:spacing w:after="120" w:line="360" w:lineRule="auto"/>
        <w:jc w:val="center"/>
      </w:pPr>
      <w:r>
        <w:rPr>
          <w:rFonts w:ascii="Songti SC" w:hAnsi="Songti SC" w:eastAsia="Songti SC"/>
          <w:b w:val="0"/>
          <w:i w:val="0"/>
          <w:color w:val="444444"/>
          <w:sz w:val="22"/>
        </w:rPr>
        <w:t>2026 年 7 月 · v0.21.0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关于本白皮书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本白皮书面向心理学及相关行为科学领域的研究者——研究生、博士后、青年教师与资深 PI——介绍如何用 PsyClaw 完成文献调研、统计分析与论文写作润色。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阅读本白皮书不需要编程基础,也不需要记住任何命令。安装完成后,全部交互均以自然语言进行:说明需求,由其执行;涉及写入文件、下载全文等操作时会先行征求同意。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我们假定你熟悉常见的心理学统计方法(t 检验、方差分析、回归、中介分析),日常可能使用 SPSS、JASP 或 R。分析脚本由 PsyClaw 生成并交给成熟统计库运行,你不必自己写。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如何使用本白皮书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第 1 章:安装与配置。首次使用前请完整阅读。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第 2–4 章:文献 → 统计分析 → 写作润色,三个阶段各成一章,可按需查阅。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第 5 章:使用建议与能力边界。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附录:常用表述速查、量表配置、常见问题。</w:t>
      </w:r>
    </w:p>
    <w:p>
      <w:pPr>
        <w:spacing w:after="200" w:line="360" w:lineRule="auto"/>
      </w:pPr>
      <w:r>
        <w:rPr>
          <w:rFonts w:ascii="Songti SC" w:hAnsi="Songti SC" w:eastAsia="Songti SC"/>
          <w:b w:val="0"/>
          <w:i w:val="0"/>
          <w:sz w:val="21"/>
        </w:rPr>
        <w:t>文中三类信息框:蓝色为对话示例(可直接照此表述),绿色为实用建议,黄色为风险提示。灰底为需在终端输入的命令——除安装配置外,正文中几乎不再涉及。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PsyClaw 能做什么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PsyClaw 承担研究流程中繁琐、易错而又必须准确的环节,使研究者得以专注于判断与思考。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175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你想做的事</w:t>
            </w:r>
          </w:p>
        </w:tc>
        <w:tc>
          <w:tcPr>
            <w:tcW w:type="dxa" w:w="5443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你只需要说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Songti SC" w:hAnsi="Songti SC" w:eastAsia="Songti SC"/>
                <w:sz w:val="18"/>
              </w:rPr>
              <w:t>找某个主题近几年的文献</w:t>
            </w:r>
          </w:p>
        </w:tc>
        <w:tc>
          <w:tcPr>
            <w:tcW w:type="dxa" w:w="5443"/>
          </w:tcPr>
          <w:p>
            <w:r/>
            <w:r>
              <w:rPr>
                <w:rFonts w:ascii="Songti SC" w:hAnsi="Songti SC" w:eastAsia="Songti SC"/>
                <w:sz w:val="18"/>
              </w:rPr>
              <w:t>帮我找工作倦怠与离职意向近三年的研究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Songti SC" w:hAnsi="Songti SC" w:eastAsia="Songti SC"/>
                <w:sz w:val="18"/>
              </w:rPr>
              <w:t>把找到的文章下载下来</w:t>
            </w:r>
          </w:p>
        </w:tc>
        <w:tc>
          <w:tcPr>
            <w:tcW w:type="dxa" w:w="5443"/>
          </w:tcPr>
          <w:p>
            <w:r/>
            <w:r>
              <w:rPr>
                <w:rFonts w:ascii="Songti SC" w:hAnsi="Songti SC" w:eastAsia="Songti SC"/>
                <w:sz w:val="18"/>
              </w:rPr>
              <w:t>把这几篇下载下来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Songti SC" w:hAnsi="Songti SC" w:eastAsia="Songti SC"/>
                <w:sz w:val="18"/>
              </w:rPr>
              <w:t>确认参考文献没有编造</w:t>
            </w:r>
          </w:p>
        </w:tc>
        <w:tc>
          <w:tcPr>
            <w:tcW w:type="dxa" w:w="5443"/>
          </w:tcPr>
          <w:p>
            <w:r/>
            <w:r>
              <w:rPr>
                <w:rFonts w:ascii="Songti SC" w:hAnsi="Songti SC" w:eastAsia="Songti SC"/>
                <w:sz w:val="18"/>
              </w:rPr>
              <w:t>帮我核一下这稿子里的引用是不是都真实存在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Songti SC" w:hAnsi="Songti SC" w:eastAsia="Songti SC"/>
                <w:sz w:val="18"/>
              </w:rPr>
              <w:t>做一个中介效应分析</w:t>
            </w:r>
          </w:p>
        </w:tc>
        <w:tc>
          <w:tcPr>
            <w:tcW w:type="dxa" w:w="5443"/>
          </w:tcPr>
          <w:p>
            <w:r/>
            <w:r>
              <w:rPr>
                <w:rFonts w:ascii="Songti SC" w:hAnsi="Songti SC" w:eastAsia="Songti SC"/>
                <w:sz w:val="18"/>
              </w:rPr>
              <w:t>帮我做个中介分析,自变量是 X,因变量是 Y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Songti SC" w:hAnsi="Songti SC" w:eastAsia="Songti SC"/>
                <w:sz w:val="18"/>
              </w:rPr>
              <w:t>检查稿件是否符合规范</w:t>
            </w:r>
          </w:p>
        </w:tc>
        <w:tc>
          <w:tcPr>
            <w:tcW w:type="dxa" w:w="5443"/>
          </w:tcPr>
          <w:p>
            <w:r/>
            <w:r>
              <w:rPr>
                <w:rFonts w:ascii="Songti SC" w:hAnsi="Songti SC" w:eastAsia="Songti SC"/>
                <w:sz w:val="18"/>
              </w:rPr>
              <w:t>帮我按 APA 规范检查一下这份稿子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Songti SC" w:hAnsi="Songti SC" w:eastAsia="Songti SC"/>
                <w:sz w:val="18"/>
              </w:rPr>
              <w:t>模拟审稿意见</w:t>
            </w:r>
          </w:p>
        </w:tc>
        <w:tc>
          <w:tcPr>
            <w:tcW w:type="dxa" w:w="5443"/>
          </w:tcPr>
          <w:p>
            <w:r/>
            <w:r>
              <w:rPr>
                <w:rFonts w:ascii="Songti SC" w:hAnsi="Songti SC" w:eastAsia="Songti SC"/>
                <w:sz w:val="18"/>
              </w:rPr>
              <w:t>帮我审一下这篇,像 Nature 审稿人那样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Songti SC" w:hAnsi="Songti SC" w:eastAsia="Songti SC"/>
                <w:sz w:val="18"/>
              </w:rPr>
              <w:t>导出成 Word 投稿</w:t>
            </w:r>
          </w:p>
        </w:tc>
        <w:tc>
          <w:tcPr>
            <w:tcW w:type="dxa" w:w="5443"/>
          </w:tcPr>
          <w:p>
            <w:r/>
            <w:r>
              <w:rPr>
                <w:rFonts w:ascii="Songti SC" w:hAnsi="Songti SC" w:eastAsia="Songti SC"/>
                <w:sz w:val="18"/>
              </w:rPr>
              <w:t>导出成心理学报格式的 Word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上表右列即为实际输入内容。无需参数与命令;表述不明确时,系统会主动追问。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三项基本保证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不编造文献。检索失败时如实告知,绝不以记忆内容拼凑书目。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不编造数据。脚本未实际运行前,不提供含具体数值的「示例结果」。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不擅自变更文件。写入、下载、修改文库前均先征求同意。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目录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关于本白皮书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PsyClaw 能做什么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第一章　安装与配置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第二章　文献检索与全文获取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第三章　统计分析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第四章　论文写作与润色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第五章　使用建议与能力边界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第六章　流程编排与能力扩展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附录 A　常用表述速查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附录 B　自定义量表配置</w:t>
      </w:r>
    </w:p>
    <w:p>
      <w:pPr>
        <w:spacing w:after="80" w:line="360" w:lineRule="auto"/>
        <w:ind w:left="340"/>
      </w:pPr>
      <w:r>
        <w:rPr>
          <w:rFonts w:ascii="Songti SC" w:hAnsi="Songti SC" w:eastAsia="Songti SC"/>
          <w:b w:val="0"/>
          <w:i w:val="0"/>
          <w:sz w:val="22"/>
        </w:rPr>
        <w:t>附录 C　常见问题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第一章　安装与配置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本章是全书唯一需要在终端输入命令的部分。配置完成后,后续交互均以自然语言进行。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1.1　安装:国际网络环境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uv tool install --python 3.12 \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"git+https://github.com/Exekiel179/psyclaw.git@v0.21.0"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若提示未找到 uv,请先安装: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curl -LsSf https://astral.sh/uv/install.sh | sh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1.2　安装:国内网络环境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国内网络环境下直接执行上述命令通常会失败。建议使用一键脚本,该脚本会自动检测网络状况并切换至国内镜像: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curl -fsSL https://exekiel179.github.io/psyclaw/install.sh | sh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如需强制使用国内镜像,可在命令前加 PSYCLAW_CN=1。Windows 环境请以 PowerShell 执行同名的 install.ps1。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8A5A00"/>
                <w:sz w:val="20"/>
              </w:rPr>
              <w:t>风险提示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一键脚本在 GitHub 不可达时会改用第三方镜像 gitclone.com。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该镜像非官方渠道,代码完整性不作保证;能连 GitHub 时请优先用官方地址。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1.3　分发包:批量部署与无网环境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需为课题组批量部署,或目标机器无法联网时,使用分发包: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742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文件</w:t>
            </w:r>
          </w:p>
        </w:tc>
        <w:tc>
          <w:tcPr>
            <w:tcW w:type="dxa" w:w="4876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适用场景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Songti SC" w:hAnsi="Songti SC" w:eastAsia="Songti SC"/>
                <w:sz w:val="18"/>
              </w:rPr>
              <w:t>psyclaw-0.21.0-py3-none-any.whl</w:t>
            </w:r>
          </w:p>
        </w:tc>
        <w:tc>
          <w:tcPr>
            <w:tcW w:type="dxa" w:w="4876"/>
          </w:tcPr>
          <w:p>
            <w:r/>
            <w:r>
              <w:rPr>
                <w:rFonts w:ascii="Songti SC" w:hAnsi="Songti SC" w:eastAsia="Songti SC"/>
                <w:sz w:val="18"/>
              </w:rPr>
              <w:t>常规离线安装(装时仍需拉一个依赖)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Songti SC" w:hAnsi="Songti SC" w:eastAsia="Songti SC"/>
                <w:sz w:val="18"/>
              </w:rPr>
              <w:t>psyclaw-offline-0.21.0.tar.gz</w:t>
            </w:r>
          </w:p>
        </w:tc>
        <w:tc>
          <w:tcPr>
            <w:tcW w:type="dxa" w:w="4876"/>
          </w:tcPr>
          <w:p>
            <w:r/>
            <w:r>
              <w:rPr>
                <w:rFonts w:ascii="Songti SC" w:hAnsi="Songti SC" w:eastAsia="Songti SC"/>
                <w:sz w:val="18"/>
              </w:rPr>
              <w:t>完全无网:依赖全部打包,解压即装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全离线整包使用方式:拷贝至目标机器,解压后按平台执行其中的装机脚本——macOS 与 Linux 运行 install.sh(sh install.sh),Windows 则右键 install.ps1 选择「使用 PowerShell 运行」。两者仅需目标机器已具备 Python 3.11 及以上版本;整包为纯 Python 包,同一份文件在两类系统通用。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1.4　首次配置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setup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该命令引导完成功能板块选择、模型服务(provider)与密钥配置。配置一次即可,后续所有项目通用。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1.5　四个入口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日常使用涉及以下四个入口。进入后即以自然语言交互。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608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入口</w:t>
            </w:r>
          </w:p>
        </w:tc>
        <w:tc>
          <w:tcPr>
            <w:tcW w:type="dxa" w:w="6009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什么时候用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Songti SC" w:hAnsi="Songti SC" w:eastAsia="Songti SC"/>
                <w:sz w:val="18"/>
              </w:rPr>
              <w:t>psyclaw</w:t>
            </w:r>
          </w:p>
        </w:tc>
        <w:tc>
          <w:tcPr>
            <w:tcW w:type="dxa" w:w="6009"/>
          </w:tcPr>
          <w:p>
            <w:r/>
            <w:r>
              <w:rPr>
                <w:rFonts w:ascii="Songti SC" w:hAnsi="Songti SC" w:eastAsia="Songti SC"/>
                <w:sz w:val="18"/>
              </w:rPr>
              <w:t>最常用。直接进入对话。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Songti SC" w:hAnsi="Songti SC" w:eastAsia="Songti SC"/>
                <w:sz w:val="18"/>
              </w:rPr>
              <w:t>psyclaw new 研究名</w:t>
            </w:r>
          </w:p>
        </w:tc>
        <w:tc>
          <w:tcPr>
            <w:tcW w:type="dxa" w:w="6009"/>
          </w:tcPr>
          <w:p>
            <w:r/>
            <w:r>
              <w:rPr>
                <w:rFonts w:ascii="Songti SC" w:hAnsi="Songti SC" w:eastAsia="Songti SC"/>
                <w:sz w:val="18"/>
              </w:rPr>
              <w:t>新建研究。将建立独立目录,其目标与进度同其他研究相互隔离。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Songti SC" w:hAnsi="Songti SC" w:eastAsia="Songti SC"/>
                <w:sz w:val="18"/>
              </w:rPr>
              <w:t>psyclaw resume</w:t>
            </w:r>
          </w:p>
        </w:tc>
        <w:tc>
          <w:tcPr>
            <w:tcW w:type="dxa" w:w="6009"/>
          </w:tcPr>
          <w:p>
            <w:r/>
            <w:r>
              <w:rPr>
                <w:rFonts w:ascii="Songti SC" w:hAnsi="Songti SC" w:eastAsia="Songti SC"/>
                <w:sz w:val="18"/>
              </w:rPr>
              <w:t>续接历史会话。不带参数时续接最近一次。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Songti SC" w:hAnsi="Songti SC" w:eastAsia="Songti SC"/>
                <w:sz w:val="18"/>
              </w:rPr>
              <w:t>psyclaw status</w:t>
            </w:r>
          </w:p>
        </w:tc>
        <w:tc>
          <w:tcPr>
            <w:tcW w:type="dxa" w:w="6009"/>
          </w:tcPr>
          <w:p>
            <w:r/>
            <w:r>
              <w:rPr>
                <w:rFonts w:ascii="Songti SC" w:hAnsi="Songti SC" w:eastAsia="Songti SC"/>
                <w:sz w:val="18"/>
              </w:rPr>
              <w:t>查看当前研究进度:目标、待办事项、最近产出与后续建议。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建议每项研究单独使用 psyclaw new 建立目录。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系统将独立记录该研究的目标与进度,不会混入其他课题的上下文。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1.6　使用须知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第一,表述不必精确。信息不足时系统会主动询问,而非擅自假设。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第二,涉及变更的操作均先征求同意。写入文件、下载全文、写入 Zotero 文库、打开浏览器等操作均会事先询问;同类操作经一次同意后,本次会话内可自动放行。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第三,产物存放位置固定:成稿位于 outputs/,图表位于 figures/,脚本位于 scripts/,笔记位于 notes/。原始数据目录 data/ 仅读取,不写入。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1.7　权限与审批档位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PsyClaw 在两个维度上控制它能做什么:操作审批与文件访问。两者均可随时在对话中切换,切换后立即生效。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28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档位</w:t>
            </w:r>
          </w:p>
        </w:tc>
        <w:tc>
          <w:tcPr>
            <w:tcW w:type="dxa" w:w="2041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切换方式</w:t>
            </w:r>
          </w:p>
        </w:tc>
        <w:tc>
          <w:tcPr>
            <w:tcW w:type="dxa" w:w="4535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含义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审批 ask(默认)</w:t>
            </w:r>
          </w:p>
        </w:tc>
        <w:tc>
          <w:tcPr>
            <w:tcW w:type="dxa" w:w="2041"/>
          </w:tcPr>
          <w:p>
            <w:r/>
            <w:r>
              <w:rPr>
                <w:rFonts w:ascii="Songti SC" w:hAnsi="Songti SC" w:eastAsia="Songti SC"/>
                <w:sz w:val="18"/>
              </w:rPr>
              <w:t>/approval ask</w:t>
            </w:r>
          </w:p>
        </w:tc>
        <w:tc>
          <w:tcPr>
            <w:tcW w:type="dxa" w:w="4535"/>
          </w:tcPr>
          <w:p>
            <w:r/>
            <w:r>
              <w:rPr>
                <w:rFonts w:ascii="Songti SC" w:hAnsi="Songti SC" w:eastAsia="Songti SC"/>
                <w:sz w:val="18"/>
              </w:rPr>
              <w:t>命令执行、文件覆盖、工具副作用逐条征求同意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审批 auto</w:t>
            </w:r>
          </w:p>
        </w:tc>
        <w:tc>
          <w:tcPr>
            <w:tcW w:type="dxa" w:w="2041"/>
          </w:tcPr>
          <w:p>
            <w:r/>
            <w:r>
              <w:rPr>
                <w:rFonts w:ascii="Songti SC" w:hAnsi="Songti SC" w:eastAsia="Songti SC"/>
                <w:sz w:val="18"/>
              </w:rPr>
              <w:t>/approval auto 或 /yolo</w:t>
            </w:r>
          </w:p>
        </w:tc>
        <w:tc>
          <w:tcPr>
            <w:tcW w:type="dxa" w:w="4535"/>
          </w:tcPr>
          <w:p>
            <w:r/>
            <w:r>
              <w:rPr>
                <w:rFonts w:ascii="Songti SC" w:hAnsi="Songti SC" w:eastAsia="Songti SC"/>
                <w:sz w:val="18"/>
              </w:rPr>
              <w:t>上述操作自动放行;仅命中红线的危险命令仍会询问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访问 open(默认)</w:t>
            </w:r>
          </w:p>
        </w:tc>
        <w:tc>
          <w:tcPr>
            <w:tcW w:type="dxa" w:w="2041"/>
          </w:tcPr>
          <w:p>
            <w:r/>
            <w:r>
              <w:rPr>
                <w:rFonts w:ascii="Songti SC" w:hAnsi="Songti SC" w:eastAsia="Songti SC"/>
                <w:sz w:val="18"/>
              </w:rPr>
              <w:t>/access open</w:t>
            </w:r>
          </w:p>
        </w:tc>
        <w:tc>
          <w:tcPr>
            <w:tcW w:type="dxa" w:w="4535"/>
          </w:tcPr>
          <w:p>
            <w:r/>
            <w:r>
              <w:rPr>
                <w:rFonts w:ascii="Songti SC" w:hAnsi="Songti SC" w:eastAsia="Songti SC"/>
                <w:sz w:val="18"/>
              </w:rPr>
              <w:t>允许系统按需读取项目内文件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访问 safe</w:t>
            </w:r>
          </w:p>
        </w:tc>
        <w:tc>
          <w:tcPr>
            <w:tcW w:type="dxa" w:w="2041"/>
          </w:tcPr>
          <w:p>
            <w:r/>
            <w:r>
              <w:rPr>
                <w:rFonts w:ascii="Songti SC" w:hAnsi="Songti SC" w:eastAsia="Songti SC"/>
                <w:sz w:val="18"/>
              </w:rPr>
              <w:t>/access safe</w:t>
            </w:r>
          </w:p>
        </w:tc>
        <w:tc>
          <w:tcPr>
            <w:tcW w:type="dxa" w:w="4535"/>
          </w:tcPr>
          <w:p>
            <w:r/>
            <w:r>
              <w:rPr>
                <w:rFonts w:ascii="Songti SC" w:hAnsi="Songti SC" w:eastAsia="Songti SC"/>
                <w:sz w:val="18"/>
              </w:rPr>
              <w:t>一切读取须由研究者以 @ 显式引用,系统不自行读取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红线始终有效:删除类命令、强制推送、数据库删表等危险操作,无论处于何种档位都会要求确认。原始数据目录 data/ 在任何档位下均只读。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档位选择建议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初次使用或处理重要数据时,保持默认的 ask + open。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批量重复性工作(如逐篇下载、批量导出)可临时切到 auto 提高效率,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完成后切回。涉及未公开数据的分析,建议使用 safe 访问档位。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第二章　文献检索与全文获取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文献是 AI 辅助研究中最易出现学术事故的环节。真正的风险不在于检索失败,而在于获得一份格式规范却并不存在的书目。本章所述流程,每一步均可核验。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2.1　文献检索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「帮我找工作倦怠与离职意向近三年的研究,英文的,15 篇左右」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「再找找中文文献,心理学报和心理科学上的」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「这些太老了,只要 2024 年之后的」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系统将同时检索多个学术数据库(OpenAlex、Crossref、EuropePMC 等),去重后一并给出题录、年份、被引次数与 DOI。「近三年」以实际当前年份计算。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撰写综述时,沿引用网络检索更为有效: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「这篇很关键,帮我找找引用了它的后续研究」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「顺着这篇的参考文献往回找源头」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关键词检索易遗漏措辞不同的重要文献;以公认的经典文献为起点前后追溯,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是更稳妥的综述路径。研究者只需指定种子文献。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2.2　全文获取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「把上面这几篇下载下来」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「第 3 篇和第 7 篇下载一下」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开放获取文献将直接下载至 outputs/pdfs 目录。遇付费墙时,系统不会就此中止,而是引导使用研究者本人的机构权限获取: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系统打开所在机构的访问入口(校园网代理或 LibKey);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在浏览器中以机构账号登录——该步骤须由研究者本人完成,PsyClaw 不接触账号与密码;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点击页面上的下载按钮,保存至默认下载目录即可,无需另存至指定位置,亦无需重命名;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返回对话说明已下载完成,系统将自动将文件收入项目,并按「作者_年份_题名」重新命名。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若已安装配套浏览器扩展,第 3 步亦可省去,系统将直接取回文件。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8A5A00"/>
                <w:sz w:val="20"/>
              </w:rPr>
              <w:t>关于付费墙文献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PsyClaw 不绕过任何付费墙,所使用的始终是研究者本人已有的机构权限。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若所在单位未订阅该刊,系统将如实告知无法获取,不作其他尝试。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使用 Zotero 者,可先在本人文库中检索: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「先在我的 Zotero 里看看有没有这几篇」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「把这篇加到我的 Zotero 文库」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「这篇我库里有全文,读一下它的方法部分」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2.3　引用真实性核查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该步骤应在交稿前执行: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「帮我核一下这份稿子里的参考文献,是不是每条都真实存在」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系统将稿件中每条参考文献送至学术数据库逐条查证,并严格区分以下三种结果: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结果</w:t>
            </w:r>
          </w:p>
        </w:tc>
        <w:tc>
          <w:tcPr>
            <w:tcW w:type="dxa" w:w="6463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含义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Songti SC" w:hAnsi="Songti SC" w:eastAsia="Songti SC"/>
                <w:sz w:val="18"/>
              </w:rPr>
              <w:t>查到了</w:t>
            </w:r>
          </w:p>
        </w:tc>
        <w:tc>
          <w:tcPr>
            <w:tcW w:type="dxa" w:w="6463"/>
          </w:tcPr>
          <w:p>
            <w:r/>
            <w:r>
              <w:rPr>
                <w:rFonts w:ascii="Songti SC" w:hAnsi="Songti SC" w:eastAsia="Songti SC"/>
                <w:sz w:val="18"/>
              </w:rPr>
              <w:t>该文献真实存在,作者与年份都对得上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Songti SC" w:hAnsi="Songti SC" w:eastAsia="Songti SC"/>
                <w:sz w:val="18"/>
              </w:rPr>
              <w:t>查无此文</w:t>
            </w:r>
          </w:p>
        </w:tc>
        <w:tc>
          <w:tcPr>
            <w:tcW w:type="dxa" w:w="6463"/>
          </w:tcPr>
          <w:p>
            <w:r/>
            <w:r>
              <w:rPr>
                <w:rFonts w:ascii="Songti SC" w:hAnsi="Songti SC" w:eastAsia="Songti SC"/>
                <w:sz w:val="18"/>
              </w:rPr>
              <w:t>疑似杜撰或著录有误,将明确标出待处理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Songti SC" w:hAnsi="Songti SC" w:eastAsia="Songti SC"/>
                <w:sz w:val="18"/>
              </w:rPr>
              <w:t>无法查证</w:t>
            </w:r>
          </w:p>
        </w:tc>
        <w:tc>
          <w:tcPr>
            <w:tcW w:type="dxa" w:w="6463"/>
          </w:tcPr>
          <w:p>
            <w:r/>
            <w:r>
              <w:rPr>
                <w:rFonts w:ascii="Songti SC" w:hAnsi="Songti SC" w:eastAsia="Songti SC"/>
                <w:sz w:val="18"/>
              </w:rPr>
              <w:t>网络不通,或该类文献本就不被数据库收录(如中文专著、内部报告)——只提示,不当作杜撰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该步骤的必要性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格式规整、卷期页码齐全、正文引用与文末列表完全一致的虚构条目,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仅凭人工查阅与格式检查无法识别,须经数据库实际查证。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「查无此文」与「无法查证」为两类不同结果,后者不会误判未被收录的中文文献。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第三章　统计分析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研究者无需编写代码。说明研究问题、变量与数据位置后,系统将生成分析脚本、交由成熟统计库运行,并解读结果。脚本保存于 scripts/ 目录,可供他人复现验证。</w:t>
      </w: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首次进行统计分析前,需安装统计库(仅需一次):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pip install "psyclaw[stats]"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3.1　分析前的准备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分析结果的可信度,很大程度上取决于分析计划确定于接触数据之前还是之后。因此第一步并非运行数据,而是记录分析计划。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「我要研究工作倦怠在工作满意度和离职意向之间的中介作用,帮我把研究准备清单过一遍」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「这个假设是确证性的,帮我先声明下来」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「我打算用中介分析,样本量需要多少?」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系统将逐项询问:结局如何定义、自变量如何操作化、排除标准为何、拟采用何种检验。完成后该清单将保存下来,供撰写方法部分、进行预注册与稿件检查时使用。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「先声明,后分析」并非形式要求。已声明的假设属确证性,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未经声明所得结果属探索性——二者在论文中的表述方式与证据分量截然不同。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PsyClaw 将守住这一界线,避免探索性结果被表述为确证性发现。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3.2　数据清理与量表计分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「数据在 data/clean/survey.csv,帮我看看这份数据什么情况」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「帮我按 MBI 的计分规则算总分,第 13、14 题是反向题」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「有没有明显乱答的被试?比如一直选同一个选项的」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系统可执行反向题翻转、子量表求和、缺失值处理,并识别可疑作答模式。量表计分规则由研究者提供一次(见附录 B),此后持续可用。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3.3　执行分析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「帮我做个中介分析,自变量工作满意度,中介变量倦怠,因变量离职意向」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「两组比较一下,看看性别有没有差异」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「帮我看看这些数据适不适合做回归,前提假设满足吗」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「把这个分析写成脚本,我要能自己重跑」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系统将生成脚本并运行,随后以日常语言解读结果:先说明结果的实际含义,再给出统计数值。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统计报告规范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必报效应量与 95% 置信区间,不止于 p 值;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p 值大于 .05 即如实报告不显著,不使用「边缘显著」「显著趋势」等表述;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相关不等于因果,涉及因果的表述附带识别假设;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脚本未实际运行前,不提供含具体数值的「示例结果」。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3.4　完整流程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如需系统串联执行完整分析流程: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「帮我把这份数据的分析从头走一遍:先描述,再主分析,最后做稳健性检验」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「我要做元分析,效应量表在这个文件里」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「这是访谈转录稿,帮我做主题分析」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第四章　论文写作与润色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4.1　撰写初稿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「根据上面的分析结果,帮我写方法部分」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「结果部分写一下,按 APA 格式报告」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「帮我把讨论部分的第二段改得紧凑一些」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「这段话太啰嗦了,精简到 150 字以内」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撰写过程遵循两条规则:统计数值仅使用实际运行所得结果,缺失处以「(待回填)」占位并在文末列出清单;引用仅使用检索所得真实文献,缺失处标注「(待补引)」,检索到后再行填补,不以看似合理的条目填充。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4.2　投稿前检查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「帮我按 APA 规范检查一下这份稿子」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「对照 JARS 清单看看还缺什么」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「帮我审一下这篇,像 Nature 审稿人那样,尽量挑刺」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检查将一次性汇总以下结果:JARS 清单是否存在遗漏、参考文献是否均真实存在、格式是否符合目标期刊要求、结论是否具备相应的分析支撑。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内置审稿流程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审稿模拟基于从 1287 篇 Nature 审稿报告中提炼的流程: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分 12 个维度逐一审查,并给出可执行的修改建议。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投稿前先行自查,可显著降低因基础问题被拒的风险。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4.3　图表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「帮我画一张中介模型的路径图」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「把这三组的均值画成柱状图,APA 风格」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「这张图的纵轴是不是截断了?看着有点夸大」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图表保存至 figures/ 目录,中文标签正常显示。系统亦会提示截断坐标轴等易造成误导的呈现方式。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4.4　导出与投稿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「导出成 Word,APA7 格式」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「按心理学报的格式导出」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「这篇准备投心理科学,帮我看看格式要求对不对得上」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导出的 Word 文件版式确定:字体、行距、三级标题、参考文献悬挂缩进与页码位置均按目标期刊要求排布,图片真实嵌入。当前支持 APA7、心理学报、心理科学三种格式。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第五章　使用建议与能力边界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5.1　使用建议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每项课题使用 psyclaw new 单独建立目录,进度与目标相互隔离。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开始时先说明研究目标,系统将予以记录,后续建议均围绕该目标给出。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过程中可询问当前进展,系统将汇报进度并给出后续建议。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对系统所做变更存疑时,可直接询问其改动了哪些文件。</w:t>
      </w:r>
    </w:p>
    <w:p>
      <w:pPr>
        <w:pStyle w:val="ListBullet"/>
        <w:spacing w:after="60" w:line="336" w:lineRule="auto"/>
      </w:pPr>
      <w:r>
        <w:rPr>
          <w:rFonts w:ascii="Songti SC" w:hAnsi="Songti SC" w:eastAsia="Songti SC"/>
          <w:sz w:val="21"/>
        </w:rPr>
        <w:t>若系统声称无法完成某项操作,而该功能理应存在,通常是未匹配到对应能力;更换表述重新提出即可。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5.2　能力边界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以下能力边界请在使用前知悉: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不代为构思研究问题。系统可协助厘清表述、指出逻辑漏洞,但选题仍由研究者决定。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不内置量表库。常用量表的条目与计分规则需由研究者提供一次(见附录 B),此后持续可用。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无法获取所在单位未订阅的文献。系统使用的是研究者本人的机构权限,权限不足时不作其他尝试。</w:t>
      </w:r>
    </w:p>
    <w:p>
      <w:pPr>
        <w:pStyle w:val="ListNumber"/>
        <w:spacing w:after="60" w:line="336" w:lineRule="auto"/>
      </w:pPr>
      <w:r>
        <w:rPr>
          <w:rFonts w:ascii="Songti SC" w:hAnsi="Songti SC" w:eastAsia="Songti SC"/>
          <w:sz w:val="21"/>
        </w:rPr>
        <w:t>不承担学术责任。全部统计解读与文献引用最终均须研究者本人复核——论文的责任作者是研究者。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5.3　风险提示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8A5A00"/>
                <w:sz w:val="20"/>
              </w:rPr>
              <w:t>务必留意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关键引用须阅读原文。查证仅能确认文献真实存在,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 xml:space="preserve">  不能确认其支持所提出的论点;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涉及被试隐私的数据,发送至模型前须确认符合所在伦理委员会要求;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原始数据须自行备份。PsyClaw 不写入 data/ 目录,但备份责任在研究者;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· AI 生成的全部内容,发表后署名的是研究者本人。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5.4　问题排查</w:t>
      </w: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可在对话中直接说明问题,例如某步骤报错或结果异常,系统通常可自行定位。若属环境问题,在终端执行: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doctor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仍无法解决时,请将当时的原始输出提交至项目页面:https://github.com/Exekiel179/psyclaw/issues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第六章　流程编排与能力扩展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前几章介绍的是单步操作。当研究进入需要多步骤串联的阶段时,可使用流程编排;当内置能力不足时,可通过 skill 与 MCP 扩展。</w:t>
      </w: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6.1　四类研究流程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流程会自动串联「设计 → 执行 → 产出 → 评审」各环节,并在每个环节留下可复现的记录。可在对话中直接说明,亦可在终端指定流程类型。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流程</w:t>
            </w:r>
          </w:p>
        </w:tc>
        <w:tc>
          <w:tcPr>
            <w:tcW w:type="dxa" w:w="1928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适用研究类型</w:t>
            </w:r>
          </w:p>
        </w:tc>
        <w:tc>
          <w:tcPr>
            <w:tcW w:type="dxa" w:w="5102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主要环节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Songti SC" w:hAnsi="Songti SC" w:eastAsia="Songti SC"/>
                <w:sz w:val="18"/>
              </w:rPr>
              <w:t>analysis</w:t>
            </w:r>
          </w:p>
        </w:tc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实证数据分析</w:t>
            </w:r>
          </w:p>
        </w:tc>
        <w:tc>
          <w:tcPr>
            <w:tcW w:type="dxa" w:w="5102"/>
          </w:tcPr>
          <w:p>
            <w:r/>
            <w:r>
              <w:rPr>
                <w:rFonts w:ascii="Songti SC" w:hAnsi="Songti SC" w:eastAsia="Songti SC"/>
                <w:sz w:val="18"/>
              </w:rPr>
              <w:t>数据画像 → 设计核对 → 推荐分析并生成脚本 → 结果评审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Songti SC" w:hAnsi="Songti SC" w:eastAsia="Songti SC"/>
                <w:sz w:val="18"/>
              </w:rPr>
              <w:t>meta</w:t>
            </w:r>
          </w:p>
        </w:tc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元分析</w:t>
            </w:r>
          </w:p>
        </w:tc>
        <w:tc>
          <w:tcPr>
            <w:tcW w:type="dxa" w:w="5102"/>
          </w:tcPr>
          <w:p>
            <w:r/>
            <w:r>
              <w:rPr>
                <w:rFonts w:ascii="Songti SC" w:hAnsi="Songti SC" w:eastAsia="Songti SC"/>
                <w:sz w:val="18"/>
              </w:rPr>
              <w:t>效应量表校验 → 生成可复现脚本 → 撰写 → 评审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Songti SC" w:hAnsi="Songti SC" w:eastAsia="Songti SC"/>
                <w:sz w:val="18"/>
              </w:rPr>
              <w:t>literature</w:t>
            </w:r>
          </w:p>
        </w:tc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文献综述</w:t>
            </w:r>
          </w:p>
        </w:tc>
        <w:tc>
          <w:tcPr>
            <w:tcW w:type="dxa" w:w="5102"/>
          </w:tcPr>
          <w:p>
            <w:r/>
            <w:r>
              <w:rPr>
                <w:rFonts w:ascii="Songti SC" w:hAnsi="Songti SC" w:eastAsia="Songti SC"/>
                <w:sz w:val="18"/>
              </w:rPr>
              <w:t>研究准备 → 检索 → PRISMA 筛选 → 综述合成 → 评审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Songti SC" w:hAnsi="Songti SC" w:eastAsia="Songti SC"/>
                <w:sz w:val="18"/>
              </w:rPr>
              <w:t>qualitative</w:t>
            </w:r>
          </w:p>
        </w:tc>
        <w:tc>
          <w:tcPr>
            <w:tcW w:type="dxa" w:w="1928"/>
          </w:tcPr>
          <w:p>
            <w:r/>
            <w:r>
              <w:rPr>
                <w:rFonts w:ascii="Songti SC" w:hAnsi="Songti SC" w:eastAsia="Songti SC"/>
                <w:sz w:val="18"/>
              </w:rPr>
              <w:t>质性研究</w:t>
            </w:r>
          </w:p>
        </w:tc>
        <w:tc>
          <w:tcPr>
            <w:tcW w:type="dxa" w:w="5102"/>
          </w:tcPr>
          <w:p>
            <w:r/>
            <w:r>
              <w:rPr>
                <w:rFonts w:ascii="Songti SC" w:hAnsi="Songti SC" w:eastAsia="Songti SC"/>
                <w:sz w:val="18"/>
              </w:rPr>
              <w:t>载入转录稿 → 设计 → 主题分析 → COREQ 报告 → 评审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「帮我把这份数据的实证分析流程完整走一遍,数据在 data/clean/survey.csv」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「我要做一个关于正念干预的元分析,效应量表已经整理好了」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「帮我做工作倦怠这个主题的文献综述,要按 PRISMA 流程」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对应的终端形式(需要精确控制时使用):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run analysis data/clean/survey.csv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run literature --topic 工作倦怠与离职意向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run qualitative data/transcripts/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三个常用选项:--confirm-each 在每步完成后暂停确认;--resume 从上次中断处继续;--exploratory 允许跳过未完成的前置检查,产出将被明确标注为探索性。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关于自动推进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除上述四类流程外,还可让系统根据项目当前状态自主决定下一步: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在对话中说明「按现在的进度继续推进」即可。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强制性检查与不可逆决策仍会暂停并征求同意,不会一路跑到底。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6.2　skill:把方法学流程装进来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skill 是一份结构化的方法学流程说明。系统内置若干 skill,在对话涉及相应主题时自动调用,无需手动指定。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494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内置 skill</w:t>
            </w:r>
          </w:p>
        </w:tc>
        <w:tc>
          <w:tcPr>
            <w:tcW w:type="dxa" w:w="6123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nature-review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Nature 级同行评审与回复信撰写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sample-size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样本量估算(功效分析)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confound-control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无关变量与混淆变量的控制流程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analysis-planning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实证分析计划制定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lit-review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文献综述与证据合成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pingouin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统计函数选择指南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paper-review-gates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稿件评审与质量把关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亦可安装第三方 skill。在终端执行: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skill install https://github.com/用户名/仓库名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安装后的 skill 位于项目的 .claude/skills 目录,系统会自动发现并纳入调用范围。查看当前已装载的 skill,在对话中询问即可。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8A5A00"/>
                <w:sz w:val="20"/>
              </w:rPr>
              <w:t>安全提示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skill 安装仅接受 https 协议的 GitHub 地址。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第三方 skill 的内容会进入系统提示并影响模型行为,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请确认来源可信后再安装。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Heiti SC" w:hAnsi="Heiti SC" w:eastAsia="Heiti SC"/>
          <w:b/>
          <w:color w:val="1A1A1A"/>
          <w:sz w:val="28"/>
        </w:rPr>
        <w:t>6.3　MCP:接入外部统计软件与服务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MCP(Model Context Protocol)用于把外部工具接入对话。配置完成后,这些工具与内置能力一样可被直接调用。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948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MCP 服务</w:t>
            </w:r>
          </w:p>
        </w:tc>
        <w:tc>
          <w:tcPr>
            <w:tcW w:type="dxa" w:w="5669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用途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Songti SC" w:hAnsi="Songti SC" w:eastAsia="Songti SC"/>
                <w:sz w:val="18"/>
              </w:rPr>
              <w:t>pystat</w:t>
            </w:r>
          </w:p>
        </w:tc>
        <w:tc>
          <w:tcPr>
            <w:tcW w:type="dxa" w:w="5669"/>
          </w:tcPr>
          <w:p>
            <w:r/>
            <w:r>
              <w:rPr>
                <w:rFonts w:ascii="Songti SC" w:hAnsi="Songti SC" w:eastAsia="Songti SC"/>
                <w:sz w:val="18"/>
              </w:rPr>
              <w:t>Python 统计计算(psyclaw 的统计委托通道)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Songti SC" w:hAnsi="Songti SC" w:eastAsia="Songti SC"/>
                <w:sz w:val="18"/>
              </w:rPr>
              <w:t>r-mcp</w:t>
            </w:r>
          </w:p>
        </w:tc>
        <w:tc>
          <w:tcPr>
            <w:tcW w:type="dxa" w:w="5669"/>
          </w:tcPr>
          <w:p>
            <w:r/>
            <w:r>
              <w:rPr>
                <w:rFonts w:ascii="Songti SC" w:hAnsi="Songti SC" w:eastAsia="Songti SC"/>
                <w:sz w:val="18"/>
              </w:rPr>
              <w:t>调用本机 R 环境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Songti SC" w:hAnsi="Songti SC" w:eastAsia="Songti SC"/>
                <w:sz w:val="18"/>
              </w:rPr>
              <w:t>spss-mcp / stata-mcp / mplus-mcp</w:t>
            </w:r>
          </w:p>
        </w:tc>
        <w:tc>
          <w:tcPr>
            <w:tcW w:type="dxa" w:w="5669"/>
          </w:tcPr>
          <w:p>
            <w:r/>
            <w:r>
              <w:rPr>
                <w:rFonts w:ascii="Songti SC" w:hAnsi="Songti SC" w:eastAsia="Songti SC"/>
                <w:sz w:val="18"/>
              </w:rPr>
              <w:t>调用 SPSS、Stata、Mplus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Songti SC" w:hAnsi="Songti SC" w:eastAsia="Songti SC"/>
                <w:sz w:val="18"/>
              </w:rPr>
              <w:t>mne-mcp</w:t>
            </w:r>
          </w:p>
        </w:tc>
        <w:tc>
          <w:tcPr>
            <w:tcW w:type="dxa" w:w="5669"/>
          </w:tcPr>
          <w:p>
            <w:r/>
            <w:r>
              <w:rPr>
                <w:rFonts w:ascii="Songti SC" w:hAnsi="Songti SC" w:eastAsia="Songti SC"/>
                <w:sz w:val="18"/>
              </w:rPr>
              <w:t>脑电与脑磁数据处理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Songti SC" w:hAnsi="Songti SC" w:eastAsia="Songti SC"/>
                <w:sz w:val="18"/>
              </w:rPr>
              <w:t>zotero-mcp</w:t>
            </w:r>
          </w:p>
        </w:tc>
        <w:tc>
          <w:tcPr>
            <w:tcW w:type="dxa" w:w="5669"/>
          </w:tcPr>
          <w:p>
            <w:r/>
            <w:r>
              <w:rPr>
                <w:rFonts w:ascii="Songti SC" w:hAnsi="Songti SC" w:eastAsia="Songti SC"/>
                <w:sz w:val="18"/>
              </w:rPr>
              <w:t>Zotero 文献管理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Songti SC" w:hAnsi="Songti SC" w:eastAsia="Songti SC"/>
                <w:sz w:val="18"/>
              </w:rPr>
              <w:t>osf-mcp</w:t>
            </w:r>
          </w:p>
        </w:tc>
        <w:tc>
          <w:tcPr>
            <w:tcW w:type="dxa" w:w="5669"/>
          </w:tcPr>
          <w:p>
            <w:r/>
            <w:r>
              <w:rPr>
                <w:rFonts w:ascii="Songti SC" w:hAnsi="Songti SC" w:eastAsia="Songti SC"/>
                <w:sz w:val="18"/>
              </w:rPr>
              <w:t>OSF 预注册与资料托管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Songti SC" w:hAnsi="Songti SC" w:eastAsia="Songti SC"/>
                <w:sz w:val="18"/>
              </w:rPr>
              <w:t>sequential-thinking</w:t>
            </w:r>
          </w:p>
        </w:tc>
        <w:tc>
          <w:tcPr>
            <w:tcW w:type="dxa" w:w="5669"/>
          </w:tcPr>
          <w:p>
            <w:r/>
            <w:r>
              <w:rPr>
                <w:rFonts w:ascii="Songti SC" w:hAnsi="Songti SC" w:eastAsia="Songti SC"/>
                <w:sz w:val="18"/>
              </w:rPr>
              <w:t>复杂问题的分步推理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查看目录与启用状态: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mcp        # 查看 MCP 目录与当前启用状态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config     # 配置向导中可完成密钥与路径设置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已有 SPSS、Mplus 使用习惯的研究者,可通过对应 MCP 继续使用原有软件,由 PsyClaw 负责流程串联与结果归档。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MCP 采用惰性加载:未实际调用时不会占用上下文,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因此可以按需配置多个而不必担心影响日常对话的响应速度。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附录 A　常用表述速查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下表左列为常见需求,右列为可直接采用的表述。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494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想做的事</w:t>
            </w:r>
          </w:p>
        </w:tc>
        <w:tc>
          <w:tcPr>
            <w:tcW w:type="dxa" w:w="6123"/>
            <w:shd w:val="clear" w:fill="E8EDF3"/>
          </w:tcPr>
          <w:p>
            <w:r/>
            <w:r>
              <w:rPr>
                <w:rFonts w:ascii="Heiti SC" w:hAnsi="Heiti SC" w:eastAsia="Heiti SC"/>
                <w:b/>
                <w:sz w:val="19"/>
              </w:rPr>
              <w:t>可以这样说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开始一个新研究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我要研究 X 对 Y 的影响,先把研究准备清单过一遍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找文献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帮我找 X 近三年的研究,15 篇左右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顺着引用找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帮我找找引用了这篇的后续研究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下载全文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把上面这几篇下载下来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用机构权限拿付费文章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这篇有付费墙,帮我走机构权限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查我的 Zotero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先在我的 Zotero 里看看有没有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核查引用真伪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核一下这稿子里的参考文献是不是都真实存在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看数据情况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数据在这个文件,帮我看看什么情况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量表计分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按这个量表的规则算总分,第 N 题是反向题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做分析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帮我做个中介分析,自变量 X,中介 M,因变量 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检查前提假设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这些数据适合做回归吗,前提假设满足吗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写稿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根据分析结果帮我写方法部分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润色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这段太啰嗦,精简到 150 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规范检查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按 APA 规范检查一下这份稿子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模拟审稿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帮我审一下这篇,尽量挑刺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画图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把这三组均值画成柱状图,APA 风格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导出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导出成心理学报格式的 Word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看进度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现在进展到哪了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走完整分析流程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帮我把这份数据的实证分析流程完整走一遍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做文献综述流程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帮我做这个主题的文献综述,按 PRISMA 流程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自主推进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按现在的进度继续推进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放宽审批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/approval auto(批量操作时用,完成后切回)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Songti SC" w:hAnsi="Songti SC" w:eastAsia="Songti SC"/>
                <w:sz w:val="18"/>
              </w:rPr>
              <w:t>收紧文件访问</w:t>
            </w:r>
          </w:p>
        </w:tc>
        <w:tc>
          <w:tcPr>
            <w:tcW w:type="dxa" w:w="6123"/>
          </w:tcPr>
          <w:p>
            <w:r/>
            <w:r>
              <w:rPr>
                <w:rFonts w:ascii="Songti SC" w:hAnsi="Songti SC" w:eastAsia="Songti SC"/>
                <w:sz w:val="18"/>
              </w:rPr>
              <w:t>/access safe(处理未公开数据时用)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附录 B　自定义量表配置</w:t>
      </w:r>
    </w:p>
    <w:p>
      <w:pPr>
        <w:spacing w:after="120" w:line="360" w:lineRule="auto"/>
      </w:pPr>
      <w:r>
        <w:rPr>
          <w:rFonts w:ascii="Songti SC" w:hAnsi="Songti SC" w:eastAsia="Songti SC"/>
          <w:b w:val="0"/>
          <w:i w:val="0"/>
          <w:sz w:val="21"/>
        </w:rPr>
        <w:t>PsyClaw 不内置量表库——常用量表版本众多、计分规则各异,内置不完整的量表库反而易致误用。研究者提供一次所用量表,此后持续可用。</w:t>
      </w: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最简便的方式是在对话中直接说明: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「我要用 MBI 通用版,16 题,0–6 计分,第 13、14 题反向,分三个维度:情绪衰竭 1–5 题,玩世不恭 6–9 题,职业效能 10–16 题。帮我把它加到量表定义里」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Songti SC" w:hAnsi="Songti SC" w:eastAsia="Songti SC"/>
          <w:b w:val="0"/>
          <w:i w:val="0"/>
          <w:sz w:val="21"/>
        </w:rPr>
        <w:t>系统将生成量表定义文件保存至项目中。亦可自行在 .psyclaw/scales/ 目录下编写,格式如下: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- id: mbi-gs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name: Maslach 倦怠量表(通用版)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items: 16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scale_min: 0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scale_max: 6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reverse: [13, 14]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subscales: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  情绪衰竭: [1, 2, 3, 4, 5]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  玩世不恭: [6, 7, 8, 9]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  职业效能: [10, 11, 12, 13, 14, 15, 16]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Heiti SC" w:hAnsi="Heiti SC" w:eastAsia="Heiti SC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量表定义编写一次即可跨研究复用。建议将课题组常用量表一次性配置完成,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并在 name 字段注明所用中文修订版本及来源文献——</w:t>
            </w:r>
          </w:p>
          <w:p>
            <w:pPr>
              <w:spacing w:after="20"/>
            </w:pPr>
            <w:r>
              <w:rPr>
                <w:rFonts w:ascii="Songti SC" w:hAnsi="Songti SC" w:eastAsia="Songti SC"/>
                <w:sz w:val="19"/>
              </w:rPr>
              <w:t>撰写方法部分时需引用。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rPr>
          <w:rFonts w:ascii="Heiti SC" w:hAnsi="Heiti SC" w:eastAsia="Heiti SC"/>
          <w:b/>
          <w:color w:val="1A1A1A"/>
          <w:sz w:val="36"/>
        </w:rPr>
        <w:t>附录 C　常见问题</w:t>
      </w:r>
    </w:p>
    <w:p>
      <w:pPr>
        <w:spacing w:after="40" w:line="360" w:lineRule="auto"/>
      </w:pPr>
      <w:r>
        <w:rPr>
          <w:rFonts w:ascii="Songti SC" w:hAnsi="Songti SC" w:eastAsia="Songti SC"/>
          <w:b/>
          <w:i w:val="0"/>
          <w:sz w:val="21"/>
        </w:rPr>
        <w:t>问:一定要联网吗?</w:t>
      </w:r>
    </w:p>
    <w:p>
      <w:pPr>
        <w:spacing w:after="160" w:line="360" w:lineRule="auto"/>
      </w:pPr>
      <w:r>
        <w:rPr>
          <w:rFonts w:ascii="Songti SC" w:hAnsi="Songti SC" w:eastAsia="Songti SC"/>
          <w:b w:val="0"/>
          <w:i w:val="0"/>
          <w:sz w:val="21"/>
        </w:rPr>
        <w:t>答:文献检索与引用核查需联网;撰写、检查、导出、计分均可离线进行。调用模型本身需要网络连接。</w:t>
      </w:r>
    </w:p>
    <w:p>
      <w:pPr>
        <w:spacing w:after="40" w:line="360" w:lineRule="auto"/>
      </w:pPr>
      <w:r>
        <w:rPr>
          <w:rFonts w:ascii="Songti SC" w:hAnsi="Songti SC" w:eastAsia="Songti SC"/>
          <w:b/>
          <w:i w:val="0"/>
          <w:sz w:val="21"/>
        </w:rPr>
        <w:t>问:我的数据会被上传吗?</w:t>
      </w:r>
    </w:p>
    <w:p>
      <w:pPr>
        <w:spacing w:after="160" w:line="360" w:lineRule="auto"/>
      </w:pPr>
      <w:r>
        <w:rPr>
          <w:rFonts w:ascii="Songti SC" w:hAnsi="Songti SC" w:eastAsia="Songti SC"/>
          <w:b w:val="0"/>
          <w:i w:val="0"/>
          <w:sz w:val="21"/>
        </w:rPr>
        <w:t>答:PsyClaw 不会主动读取原始数据目录。在对话中明确指定读取的文件,其内容将随请求发送至所配置的模型服务——涉及被试隐私时请审慎处理,并确认符合伦理委员会要求。</w:t>
      </w:r>
    </w:p>
    <w:p>
      <w:pPr>
        <w:spacing w:after="40" w:line="360" w:lineRule="auto"/>
      </w:pPr>
      <w:r>
        <w:rPr>
          <w:rFonts w:ascii="Songti SC" w:hAnsi="Songti SC" w:eastAsia="Songti SC"/>
          <w:b/>
          <w:i w:val="0"/>
          <w:sz w:val="21"/>
        </w:rPr>
        <w:t>问:能替代 SPSS 或 JASP 吗?</w:t>
      </w:r>
    </w:p>
    <w:p>
      <w:pPr>
        <w:spacing w:after="160" w:line="360" w:lineRule="auto"/>
      </w:pPr>
      <w:r>
        <w:rPr>
          <w:rFonts w:ascii="Songti SC" w:hAnsi="Songti SC" w:eastAsia="Songti SC"/>
          <w:b w:val="0"/>
          <w:i w:val="0"/>
          <w:sz w:val="21"/>
        </w:rPr>
        <w:t>答:定位不同。其长处在于串联完整流程并留下可复现记录;点选式软件的即时探索体验则非其所长。二者可并行使用。</w:t>
      </w:r>
    </w:p>
    <w:p>
      <w:pPr>
        <w:spacing w:after="40" w:line="360" w:lineRule="auto"/>
      </w:pPr>
      <w:r>
        <w:rPr>
          <w:rFonts w:ascii="Songti SC" w:hAnsi="Songti SC" w:eastAsia="Songti SC"/>
          <w:b/>
          <w:i w:val="0"/>
          <w:sz w:val="21"/>
        </w:rPr>
        <w:t>问:生成的稿子能直接投吗?</w:t>
      </w:r>
    </w:p>
    <w:p>
      <w:pPr>
        <w:spacing w:after="160" w:line="360" w:lineRule="auto"/>
      </w:pPr>
      <w:r>
        <w:rPr>
          <w:rFonts w:ascii="Songti SC" w:hAnsi="Songti SC" w:eastAsia="Songti SC"/>
          <w:b w:val="0"/>
          <w:i w:val="0"/>
          <w:sz w:val="21"/>
        </w:rPr>
        <w:t>答:不能。全部统计解读与文献引用均须研究者本人复核。其价值在于将易错环节转化为可核验的流程,而非代为承担责任。</w:t>
      </w:r>
    </w:p>
    <w:p>
      <w:pPr>
        <w:spacing w:after="40" w:line="360" w:lineRule="auto"/>
      </w:pPr>
      <w:r>
        <w:rPr>
          <w:rFonts w:ascii="Songti SC" w:hAnsi="Songti SC" w:eastAsia="Songti SC"/>
          <w:b/>
          <w:i w:val="0"/>
          <w:sz w:val="21"/>
        </w:rPr>
        <w:t>问:它会不会编造文献?</w:t>
      </w:r>
    </w:p>
    <w:p>
      <w:pPr>
        <w:spacing w:after="160" w:line="360" w:lineRule="auto"/>
      </w:pPr>
      <w:r>
        <w:rPr>
          <w:rFonts w:ascii="Songti SC" w:hAnsi="Songti SC" w:eastAsia="Songti SC"/>
          <w:b w:val="0"/>
          <w:i w:val="0"/>
          <w:sz w:val="21"/>
        </w:rPr>
        <w:t>答:不会。检索失败时如实告知,并给出后续可行方案。交稿前可要求其将每条参考文献送数据库逐条核验。</w:t>
      </w:r>
    </w:p>
    <w:p>
      <w:pPr>
        <w:spacing w:after="40" w:line="360" w:lineRule="auto"/>
      </w:pPr>
      <w:r>
        <w:rPr>
          <w:rFonts w:ascii="Songti SC" w:hAnsi="Songti SC" w:eastAsia="Songti SC"/>
          <w:b/>
          <w:i w:val="0"/>
          <w:sz w:val="21"/>
        </w:rPr>
        <w:t>问:换电脑了怎么办?</w:t>
      </w:r>
    </w:p>
    <w:p>
      <w:pPr>
        <w:spacing w:after="160" w:line="360" w:lineRule="auto"/>
      </w:pPr>
      <w:r>
        <w:rPr>
          <w:rFonts w:ascii="Songti SC" w:hAnsi="Songti SC" w:eastAsia="Songti SC"/>
          <w:b w:val="0"/>
          <w:i w:val="0"/>
          <w:sz w:val="21"/>
        </w:rPr>
        <w:t>答:重新安装即可。配置与量表定义随项目目录保存,拷贝项目目录至新机器即可继续使用。</w:t>
      </w:r>
    </w:p>
    <w:p>
      <w:pPr>
        <w:spacing w:after="120" w:line="360" w:lineRule="auto"/>
        <w:jc w:val="center"/>
      </w:pPr>
      <w:r>
        <w:rPr>
          <w:rFonts w:ascii="Songti SC" w:hAnsi="Songti SC" w:eastAsia="Songti SC"/>
          <w:b w:val="0"/>
          <w:i w:val="0"/>
          <w:color w:val="444444"/>
          <w:sz w:val="19"/>
        </w:rPr>
        <w:t>PsyClaw v0.21.0 · 源码与问题反馈:https://github.com/Exekiel179/psyclaw · MIT 许可</w:t>
      </w:r>
    </w:p>
    <w:sectPr w:rsidR="00FC693F" w:rsidRPr="0006063C" w:rsidSect="00034616">
      <w:footerReference w:type="default" r:id="rId9"/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color w:val="888888"/>
        <w:sz w:val="16"/>
      </w:rPr>
      <w:t>PsyClaw 使用白皮书 · v0.21.0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 w:eastAsia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