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40" w:line="360" w:lineRule="auto"/>
        <w:jc w:val="center"/>
      </w:pPr>
      <w:r>
        <w:rPr>
          <w:rFonts w:ascii="Arial Unicode MS" w:hAnsi="Arial Unicode MS" w:eastAsia="Arial Unicode MS" w:cs="Arial Unicode MS" w:hint="eastAsia"/>
          <w:b/>
          <w:i w:val="0"/>
          <w:sz w:val="40"/>
        </w:rPr>
        <w:t>心理学研究者的</w:t>
      </w:r>
    </w:p>
    <w:p>
      <w:pPr>
        <w:spacing w:after="280" w:line="360" w:lineRule="auto"/>
        <w:jc w:val="center"/>
      </w:pPr>
      <w:r>
        <w:rPr>
          <w:rFonts w:ascii="Arial Unicode MS" w:hAnsi="Arial Unicode MS" w:eastAsia="Arial Unicode MS" w:cs="Arial Unicode MS" w:hint="eastAsia"/>
          <w:b/>
          <w:i w:val="0"/>
          <w:sz w:val="56"/>
        </w:rPr>
        <w:t>PsyClaw 使用白皮书</w:t>
      </w:r>
    </w:p>
    <w:p>
      <w:pPr>
        <w:spacing w:after="80" w:line="360" w:lineRule="auto"/>
        <w:jc w:val="center"/>
      </w:pPr>
      <w:r>
        <w:rPr>
          <w:rFonts w:ascii="Arial Unicode MS" w:hAnsi="Arial Unicode MS" w:eastAsia="Arial Unicode MS" w:cs="Arial Unicode MS" w:hint="eastAsia"/>
          <w:b w:val="0"/>
          <w:i w:val="0"/>
          <w:sz w:val="26"/>
        </w:rPr>
        <w:t>以自然语言完成研究全流程</w:t>
      </w:r>
    </w:p>
    <w:p>
      <w:pPr>
        <w:spacing w:after="360" w:line="360" w:lineRule="auto"/>
        <w:jc w:val="center"/>
      </w:pPr>
      <w:r>
        <w:rPr>
          <w:rFonts w:ascii="Arial Unicode MS" w:hAnsi="Arial Unicode MS" w:eastAsia="Arial Unicode MS" w:cs="Arial Unicode MS" w:hint="eastAsia"/>
          <w:b w:val="0"/>
          <w:i w:val="0"/>
          <w:color w:val="444444"/>
          <w:sz w:val="24"/>
        </w:rPr>
        <w:t>—— 文献 · 统计分析 · 论文写作润色 ——</w:t>
      </w:r>
    </w:p>
    <w:p>
      <w:pPr>
        <w:spacing w:after="800" w:line="360" w:lineRule="auto"/>
        <w:jc w:val="center"/>
      </w:pPr>
      <w:r>
        <w:rPr>
          <w:rFonts w:ascii="Arial Unicode MS" w:hAnsi="Arial Unicode MS" w:eastAsia="Arial Unicode MS" w:cs="Arial Unicode MS" w:hint="eastAsia"/>
          <w:b w:val="0"/>
          <w:i w:val="0"/>
          <w:color w:val="1F4E79"/>
          <w:sz w:val="22"/>
        </w:rPr>
        <w:t>无需编程 · 无需记忆命令</w:t>
      </w:r>
    </w:p>
    <w:p>
      <w:pPr>
        <w:spacing w:after="120" w:line="360" w:lineRule="auto"/>
        <w:jc w:val="center"/>
      </w:pPr>
      <w:r>
        <w:rPr>
          <w:rFonts w:ascii="Arial Unicode MS" w:hAnsi="Arial Unicode MS" w:eastAsia="Arial Unicode MS" w:cs="Arial Unicode MS" w:hint="eastAsia"/>
          <w:b w:val="0"/>
          <w:i w:val="0"/>
          <w:color w:val="444444"/>
          <w:sz w:val="22"/>
        </w:rPr>
        <w:t>2026 年 8 月 · v0.23.0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36"/>
        </w:rPr>
        <w:t>关于本白皮书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本白皮书面向心理学及相关行为科学领域的研究者——研究生、博士后、青年教师与资深 PI——介绍如何用 PsyClaw 完成文献调研、统计分析与论文写作润色。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阅读本白皮书不需要编程基础,也不需要记住任何命令。安装完成后,全部交互均以自然语言进行:说明需求,由其执行;涉及写入文件、下载全文等操作时会先行征求同意。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我们假定你熟悉常见的心理学统计方法(t 检验、方差分析、回归、中介分析),日常可能使用 SPSS、JASP 或 R。分析脚本由 PsyClaw 生成并交给成熟统计库运行,你不必自己写。</w:t>
      </w: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如何使用本白皮书</w:t>
      </w:r>
    </w:p>
    <w:p>
      <w:pPr>
        <w:pStyle w:val="ListBullet"/>
        <w:spacing w:after="60" w:line="336" w:lineRule="auto"/>
      </w:pPr>
      <w:r>
        <w:rPr>
          <w:rFonts w:ascii="Arial Unicode MS" w:hAnsi="Arial Unicode MS" w:eastAsia="Arial Unicode MS" w:cs="Arial Unicode MS" w:hint="eastAsia"/>
          <w:sz w:val="21"/>
        </w:rPr>
        <w:t>第 1 章:安装与两个公开入口。首次使用前请完整阅读。</w:t>
      </w:r>
    </w:p>
    <w:p>
      <w:pPr>
        <w:pStyle w:val="ListBullet"/>
        <w:spacing w:after="60" w:line="336" w:lineRule="auto"/>
      </w:pPr>
      <w:r>
        <w:rPr>
          <w:rFonts w:ascii="Arial Unicode MS" w:hAnsi="Arial Unicode MS" w:eastAsia="Arial Unicode MS" w:cs="Arial Unicode MS" w:hint="eastAsia"/>
          <w:sz w:val="21"/>
        </w:rPr>
        <w:t>第 2–4 章:文献 → 分析委托 → 写作与质量检查,三个阶段各成一章,可按需查阅。</w:t>
      </w:r>
    </w:p>
    <w:p>
      <w:pPr>
        <w:pStyle w:val="ListBullet"/>
        <w:spacing w:after="60" w:line="336" w:lineRule="auto"/>
      </w:pPr>
      <w:r>
        <w:rPr>
          <w:rFonts w:ascii="Arial Unicode MS" w:hAnsi="Arial Unicode MS" w:eastAsia="Arial Unicode MS" w:cs="Arial Unicode MS" w:hint="eastAsia"/>
          <w:sz w:val="21"/>
        </w:rPr>
        <w:t>第 5 章:使用建议、能力边界与人工责任。</w:t>
      </w:r>
    </w:p>
    <w:p>
      <w:pPr>
        <w:pStyle w:val="ListBullet"/>
        <w:spacing w:after="60" w:line="336" w:lineRule="auto"/>
      </w:pPr>
      <w:r>
        <w:rPr>
          <w:rFonts w:ascii="Arial Unicode MS" w:hAnsi="Arial Unicode MS" w:eastAsia="Arial Unicode MS" w:cs="Arial Unicode MS" w:hint="eastAsia"/>
          <w:sz w:val="21"/>
        </w:rPr>
        <w:t>第 6 章:研究流程、System Skill Pack、宿主 Skill/MCP 与资料编译。</w:t>
      </w:r>
    </w:p>
    <w:p>
      <w:pPr>
        <w:spacing w:after="20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文中三类信息框:蓝色为对话示例(可直接照此表述),绿色为实用建议,黄色为风险提示。灰底为需在终端输入的命令——除安装配置外,正文中几乎不再涉及。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36"/>
        </w:rPr>
        <w:t>PsyClaw 能做什么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PsyClaw 承担研究流程中繁琐、易错而又必须准确的环节,使研究者得以专注于判断与思考。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3175"/>
            <w:shd w:val="clear" w:fill="E8EDF3"/>
          </w:tcPr>
          <w:p>
            <w:r/>
            <w:r>
              <w:rPr>
                <w:rFonts w:ascii="Arial Unicode MS" w:hAnsi="Arial Unicode MS" w:eastAsia="Arial Unicode MS" w:cs="Arial Unicode MS" w:hint="eastAsia"/>
                <w:b/>
                <w:sz w:val="19"/>
              </w:rPr>
              <w:t>你想做的事</w:t>
            </w:r>
          </w:p>
        </w:tc>
        <w:tc>
          <w:tcPr>
            <w:tcW w:type="dxa" w:w="5443"/>
            <w:shd w:val="clear" w:fill="E8EDF3"/>
          </w:tcPr>
          <w:p>
            <w:r/>
            <w:r>
              <w:rPr>
                <w:rFonts w:ascii="Arial Unicode MS" w:hAnsi="Arial Unicode MS" w:eastAsia="Arial Unicode MS" w:cs="Arial Unicode MS" w:hint="eastAsia"/>
                <w:b/>
                <w:sz w:val="19"/>
              </w:rPr>
              <w:t>你只需要说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找某个主题近几年的文献</w:t>
            </w:r>
          </w:p>
        </w:tc>
        <w:tc>
          <w:tcPr>
            <w:tcW w:type="dxa" w:w="544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帮我找工作倦怠与离职意向近三年的研究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把找到的文章下载下来</w:t>
            </w:r>
          </w:p>
        </w:tc>
        <w:tc>
          <w:tcPr>
            <w:tcW w:type="dxa" w:w="544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把这几篇下载下来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确认参考文献没有编造</w:t>
            </w:r>
          </w:p>
        </w:tc>
        <w:tc>
          <w:tcPr>
            <w:tcW w:type="dxa" w:w="544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帮我核一下这稿子里的引用是不是都真实存在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做一个中介效应分析</w:t>
            </w:r>
          </w:p>
        </w:tc>
        <w:tc>
          <w:tcPr>
            <w:tcW w:type="dxa" w:w="544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帮我做个中介分析,自变量是 X,因变量是 Y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检查稿件是否符合规范</w:t>
            </w:r>
          </w:p>
        </w:tc>
        <w:tc>
          <w:tcPr>
            <w:tcW w:type="dxa" w:w="544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帮我按 APA 规范检查一下这份稿子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模拟审稿意见</w:t>
            </w:r>
          </w:p>
        </w:tc>
        <w:tc>
          <w:tcPr>
            <w:tcW w:type="dxa" w:w="544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帮我审一下这篇,像 Nature 审稿人那样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导出成 Word 投稿</w:t>
            </w:r>
          </w:p>
        </w:tc>
        <w:tc>
          <w:tcPr>
            <w:tcW w:type="dxa" w:w="544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导出成心理学报格式的 Word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上表右列即为实际输入内容。无需参数与命令;表述不明确时,系统会主动追问。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5EE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E6B3A"/>
                <w:sz w:val="20"/>
              </w:rPr>
              <w:t>三项基本保证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· 不编造文献。检索失败时如实告知,绝不以记忆内容拼凑书目。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· 不编造数据。脚本未实际运行前,不提供含具体数值的「示例结果」。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· 不擅自变更文件。写入、下载、修改文库前均先征求同意。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36"/>
        </w:rPr>
        <w:t>目录</w:t>
      </w:r>
    </w:p>
    <w:p>
      <w:pPr>
        <w:spacing w:after="80" w:line="360" w:lineRule="auto"/>
        <w:ind w:left="340"/>
      </w:pPr>
      <w:r>
        <w:rPr>
          <w:rFonts w:ascii="Arial Unicode MS" w:hAnsi="Arial Unicode MS" w:eastAsia="Arial Unicode MS" w:cs="Arial Unicode MS" w:hint="eastAsia"/>
          <w:b w:val="0"/>
          <w:i w:val="0"/>
          <w:sz w:val="22"/>
        </w:rPr>
        <w:t>关于本白皮书</w:t>
      </w:r>
    </w:p>
    <w:p>
      <w:pPr>
        <w:spacing w:after="80" w:line="360" w:lineRule="auto"/>
        <w:ind w:left="340"/>
      </w:pPr>
      <w:r>
        <w:rPr>
          <w:rFonts w:ascii="Arial Unicode MS" w:hAnsi="Arial Unicode MS" w:eastAsia="Arial Unicode MS" w:cs="Arial Unicode MS" w:hint="eastAsia"/>
          <w:b w:val="0"/>
          <w:i w:val="0"/>
          <w:sz w:val="22"/>
        </w:rPr>
        <w:t>PsyClaw 能做什么</w:t>
      </w:r>
    </w:p>
    <w:p>
      <w:pPr>
        <w:spacing w:after="80" w:line="360" w:lineRule="auto"/>
        <w:ind w:left="340"/>
      </w:pPr>
      <w:r>
        <w:rPr>
          <w:rFonts w:ascii="Arial Unicode MS" w:hAnsi="Arial Unicode MS" w:eastAsia="Arial Unicode MS" w:cs="Arial Unicode MS" w:hint="eastAsia"/>
          <w:b w:val="0"/>
          <w:i w:val="0"/>
          <w:sz w:val="22"/>
        </w:rPr>
        <w:t>第一章　安装与配置</w:t>
      </w:r>
    </w:p>
    <w:p>
      <w:pPr>
        <w:spacing w:after="80" w:line="360" w:lineRule="auto"/>
        <w:ind w:left="340"/>
      </w:pPr>
      <w:r>
        <w:rPr>
          <w:rFonts w:ascii="Arial Unicode MS" w:hAnsi="Arial Unicode MS" w:eastAsia="Arial Unicode MS" w:cs="Arial Unicode MS" w:hint="eastAsia"/>
          <w:b w:val="0"/>
          <w:i w:val="0"/>
          <w:sz w:val="22"/>
        </w:rPr>
        <w:t>第二章　文献检索与全文获取</w:t>
      </w:r>
    </w:p>
    <w:p>
      <w:pPr>
        <w:spacing w:after="80" w:line="360" w:lineRule="auto"/>
        <w:ind w:left="340"/>
      </w:pPr>
      <w:r>
        <w:rPr>
          <w:rFonts w:ascii="Arial Unicode MS" w:hAnsi="Arial Unicode MS" w:eastAsia="Arial Unicode MS" w:cs="Arial Unicode MS" w:hint="eastAsia"/>
          <w:b w:val="0"/>
          <w:i w:val="0"/>
          <w:sz w:val="22"/>
        </w:rPr>
        <w:t>第三章　统计分析</w:t>
      </w:r>
    </w:p>
    <w:p>
      <w:pPr>
        <w:spacing w:after="80" w:line="360" w:lineRule="auto"/>
        <w:ind w:left="340"/>
      </w:pPr>
      <w:r>
        <w:rPr>
          <w:rFonts w:ascii="Arial Unicode MS" w:hAnsi="Arial Unicode MS" w:eastAsia="Arial Unicode MS" w:cs="Arial Unicode MS" w:hint="eastAsia"/>
          <w:b w:val="0"/>
          <w:i w:val="0"/>
          <w:sz w:val="22"/>
        </w:rPr>
        <w:t>第四章　论文写作与润色</w:t>
      </w:r>
    </w:p>
    <w:p>
      <w:pPr>
        <w:spacing w:after="80" w:line="360" w:lineRule="auto"/>
        <w:ind w:left="340"/>
      </w:pPr>
      <w:r>
        <w:rPr>
          <w:rFonts w:ascii="Arial Unicode MS" w:hAnsi="Arial Unicode MS" w:eastAsia="Arial Unicode MS" w:cs="Arial Unicode MS" w:hint="eastAsia"/>
          <w:b w:val="0"/>
          <w:i w:val="0"/>
          <w:sz w:val="22"/>
        </w:rPr>
        <w:t>第五章　使用建议与能力边界</w:t>
      </w:r>
    </w:p>
    <w:p>
      <w:pPr>
        <w:spacing w:after="80" w:line="360" w:lineRule="auto"/>
        <w:ind w:left="340"/>
      </w:pPr>
      <w:r>
        <w:rPr>
          <w:rFonts w:ascii="Arial Unicode MS" w:hAnsi="Arial Unicode MS" w:eastAsia="Arial Unicode MS" w:cs="Arial Unicode MS" w:hint="eastAsia"/>
          <w:b w:val="0"/>
          <w:i w:val="0"/>
          <w:sz w:val="22"/>
        </w:rPr>
        <w:t>第六章　流程编排与能力扩展</w:t>
      </w:r>
    </w:p>
    <w:p>
      <w:pPr>
        <w:spacing w:after="80" w:line="360" w:lineRule="auto"/>
        <w:ind w:left="340"/>
      </w:pPr>
      <w:r>
        <w:rPr>
          <w:rFonts w:ascii="Arial Unicode MS" w:hAnsi="Arial Unicode MS" w:eastAsia="Arial Unicode MS" w:cs="Arial Unicode MS" w:hint="eastAsia"/>
          <w:b w:val="0"/>
          <w:i w:val="0"/>
          <w:sz w:val="22"/>
        </w:rPr>
        <w:t>附录 A　常用表述速查</w:t>
      </w:r>
    </w:p>
    <w:p>
      <w:pPr>
        <w:spacing w:after="80" w:line="360" w:lineRule="auto"/>
        <w:ind w:left="340"/>
      </w:pPr>
      <w:r>
        <w:rPr>
          <w:rFonts w:ascii="Arial Unicode MS" w:hAnsi="Arial Unicode MS" w:eastAsia="Arial Unicode MS" w:cs="Arial Unicode MS" w:hint="eastAsia"/>
          <w:b w:val="0"/>
          <w:i w:val="0"/>
          <w:sz w:val="22"/>
        </w:rPr>
        <w:t>附录 B　自定义量表配置</w:t>
      </w:r>
    </w:p>
    <w:p>
      <w:pPr>
        <w:spacing w:after="80" w:line="360" w:lineRule="auto"/>
        <w:ind w:left="340"/>
      </w:pPr>
      <w:r>
        <w:rPr>
          <w:rFonts w:ascii="Arial Unicode MS" w:hAnsi="Arial Unicode MS" w:eastAsia="Arial Unicode MS" w:cs="Arial Unicode MS" w:hint="eastAsia"/>
          <w:b w:val="0"/>
          <w:i w:val="0"/>
          <w:sz w:val="22"/>
        </w:rPr>
        <w:t>附录 C　常见问题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36"/>
        </w:rPr>
        <w:t>第一章　安装与配置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本章是全书唯一需要在终端输入命令的部分。配置完成后,后续交互均以自然语言进行。</w:t>
      </w: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1.1　安装:国际网络环境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uv tool install --python 3.12 \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 xml:space="preserve">  "git+https://github.com/Exekiel179/psyclaw.git@v0.23.0"</w:t>
            </w:r>
          </w:p>
        </w:tc>
      </w:tr>
    </w:tbl>
    <w:p>
      <w:pPr>
        <w:spacing w:after="80"/>
      </w:pPr>
    </w:p>
    <w:p>
      <w:pPr>
        <w:spacing w:after="4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若提示未找到 uv,请先安装: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curl -LsSf https://astral.sh/uv/install.sh | sh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1.2　安装:国内网络环境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国内网络环境下直接执行上述命令通常会失败。建议使用一键脚本,该脚本会自动检测网络状况并切换至国内镜像: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curl -fsSL https://exekiel179.github.io/psyclaw/install.sh | sh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如需强制使用国内镜像,可在命令前加 PSYCLAW_CN=1。Windows 环境请以 PowerShell 执行同名的 install.ps1。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BF3E2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8A5A00"/>
                <w:sz w:val="20"/>
              </w:rPr>
              <w:t>风险提示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一键脚本在 GitHub 不可达时会改用第三方镜像 gitclone.com。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该镜像非官方渠道,代码完整性不作保证;能连 GitHub 时请优先用官方地址。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1.3　分发包:批量部署与无网环境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需为课题组批量部署,或目标机器无法联网时,使用分发包: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3742"/>
            <w:shd w:val="clear" w:fill="E8EDF3"/>
          </w:tcPr>
          <w:p>
            <w:r/>
            <w:r>
              <w:rPr>
                <w:rFonts w:ascii="Arial Unicode MS" w:hAnsi="Arial Unicode MS" w:eastAsia="Arial Unicode MS" w:cs="Arial Unicode MS" w:hint="eastAsia"/>
                <w:b/>
                <w:sz w:val="19"/>
              </w:rPr>
              <w:t>文件</w:t>
            </w:r>
          </w:p>
        </w:tc>
        <w:tc>
          <w:tcPr>
            <w:tcW w:type="dxa" w:w="4876"/>
            <w:shd w:val="clear" w:fill="E8EDF3"/>
          </w:tcPr>
          <w:p>
            <w:r/>
            <w:r>
              <w:rPr>
                <w:rFonts w:ascii="Arial Unicode MS" w:hAnsi="Arial Unicode MS" w:eastAsia="Arial Unicode MS" w:cs="Arial Unicode MS" w:hint="eastAsia"/>
                <w:b/>
                <w:sz w:val="19"/>
              </w:rPr>
              <w:t>适用场景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psyclaw-0.23.0-py3-none-any.whl</w:t>
            </w:r>
          </w:p>
        </w:tc>
        <w:tc>
          <w:tcPr>
            <w:tcW w:type="dxa" w:w="4876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常规离线安装(装时仍需拉一个依赖)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psyclaw-offline-0.23.0.tar.gz</w:t>
            </w:r>
          </w:p>
        </w:tc>
        <w:tc>
          <w:tcPr>
            <w:tcW w:type="dxa" w:w="4876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完全无网:依赖全部打包,解压即装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全离线整包使用方式:拷贝至目标机器,解压后按平台执行其中的装机脚本——macOS 与 Linux 运行 install.sh(sh install.sh),Windows 则右键 install.ps1 选择「使用 PowerShell 运行」。两者仅需目标机器已具备 Python 3.11 及以上版本;整包为纯 Python 包,同一份文件在两类系统通用。</w:t>
      </w: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1.4　首次配置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psyclaw setup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该命令引导完成功能板块选择、模型服务(provider)与密钥配置。配置一次即可,后续所有项目通用。</w:t>
      </w: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1.5　两个公开入口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日常使用只需记住两个入口：一起做用 chat，交给它做用 run。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608"/>
            <w:shd w:val="clear" w:fill="E8EDF3"/>
          </w:tcPr>
          <w:p>
            <w:r/>
            <w:r>
              <w:rPr>
                <w:rFonts w:ascii="Arial Unicode MS" w:hAnsi="Arial Unicode MS" w:eastAsia="Arial Unicode MS" w:cs="Arial Unicode MS" w:hint="eastAsia"/>
                <w:b/>
                <w:sz w:val="19"/>
              </w:rPr>
              <w:t>入口</w:t>
            </w:r>
          </w:p>
        </w:tc>
        <w:tc>
          <w:tcPr>
            <w:tcW w:type="dxa" w:w="6009"/>
            <w:shd w:val="clear" w:fill="E8EDF3"/>
          </w:tcPr>
          <w:p>
            <w:r/>
            <w:r>
              <w:rPr>
                <w:rFonts w:ascii="Arial Unicode MS" w:hAnsi="Arial Unicode MS" w:eastAsia="Arial Unicode MS" w:cs="Arial Unicode MS" w:hint="eastAsia"/>
                <w:b/>
                <w:sz w:val="19"/>
              </w:rPr>
              <w:t>什么时候用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psyclaw chat(或直接 psyclaw)</w:t>
            </w:r>
          </w:p>
        </w:tc>
        <w:tc>
          <w:tcPr>
            <w:tcW w:type="dxa" w:w="6009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一起做：自然语言讨论、澄清、读取材料和逐步决策。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psyclaw run &lt;类型&gt;</w:t>
            </w:r>
          </w:p>
        </w:tc>
        <w:tc>
          <w:tcPr>
            <w:tcW w:type="dxa" w:w="6009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交给它做：按步骤执行 literature、meta、analysis 或 qualitative 流程。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psyclaw run</w:t>
            </w:r>
          </w:p>
        </w:tc>
        <w:tc>
          <w:tcPr>
            <w:tcW w:type="dxa" w:w="6009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根据项目状态自动继续下一步；遇到 gate 或人工决策会暂停。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psyclaw status</w:t>
            </w:r>
          </w:p>
        </w:tc>
        <w:tc>
          <w:tcPr>
            <w:tcW w:type="dxa" w:w="6009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查看目标、待办、最近产出和下一步建议。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5EE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E6B3A"/>
                <w:sz w:val="20"/>
              </w:rPr>
              <w:t>实用建议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建议每项研究单独使用 psyclaw new 建立目录。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系统将独立记录该研究的目标与进度,不会混入其他课题的上下文。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1.6　使用须知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第一,表述不必精确。信息不足时系统会主动询问,而非擅自假设。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第二,涉及变更的操作均先征求同意。写入文件、下载全文、写入 Zotero 文库、打开浏览器等操作均会事先询问;同类操作经一次同意后,本次会话内可自动放行。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第三,产物存放位置固定:成稿位于 outputs/,图表位于 figures/,脚本位于 scripts/,笔记位于 notes/。原始数据目录 data/ 仅读取,不写入。</w:t>
      </w: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1.7　权限与审批档位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PsyClaw 在两个维度上控制它能做什么:操作审批与文件访问。两者均可随时在对话中切换,切换后立即生效。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928"/>
            <w:shd w:val="clear" w:fill="E8EDF3"/>
          </w:tcPr>
          <w:p>
            <w:r/>
            <w:r>
              <w:rPr>
                <w:rFonts w:ascii="Arial Unicode MS" w:hAnsi="Arial Unicode MS" w:eastAsia="Arial Unicode MS" w:cs="Arial Unicode MS" w:hint="eastAsia"/>
                <w:b/>
                <w:sz w:val="19"/>
              </w:rPr>
              <w:t>档位</w:t>
            </w:r>
          </w:p>
        </w:tc>
        <w:tc>
          <w:tcPr>
            <w:tcW w:type="dxa" w:w="2041"/>
            <w:shd w:val="clear" w:fill="E8EDF3"/>
          </w:tcPr>
          <w:p>
            <w:r/>
            <w:r>
              <w:rPr>
                <w:rFonts w:ascii="Arial Unicode MS" w:hAnsi="Arial Unicode MS" w:eastAsia="Arial Unicode MS" w:cs="Arial Unicode MS" w:hint="eastAsia"/>
                <w:b/>
                <w:sz w:val="19"/>
              </w:rPr>
              <w:t>切换方式</w:t>
            </w:r>
          </w:p>
        </w:tc>
        <w:tc>
          <w:tcPr>
            <w:tcW w:type="dxa" w:w="4535"/>
            <w:shd w:val="clear" w:fill="E8EDF3"/>
          </w:tcPr>
          <w:p>
            <w:r/>
            <w:r>
              <w:rPr>
                <w:rFonts w:ascii="Arial Unicode MS" w:hAnsi="Arial Unicode MS" w:eastAsia="Arial Unicode MS" w:cs="Arial Unicode MS" w:hint="eastAsia"/>
                <w:b/>
                <w:sz w:val="19"/>
              </w:rPr>
              <w:t>含义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审批 ask(默认)</w:t>
            </w:r>
          </w:p>
        </w:tc>
        <w:tc>
          <w:tcPr>
            <w:tcW w:type="dxa" w:w="2041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/approval ask</w:t>
            </w:r>
          </w:p>
        </w:tc>
        <w:tc>
          <w:tcPr>
            <w:tcW w:type="dxa" w:w="4535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命令执行、文件覆盖、工具副作用逐条征求同意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审批 auto</w:t>
            </w:r>
          </w:p>
        </w:tc>
        <w:tc>
          <w:tcPr>
            <w:tcW w:type="dxa" w:w="2041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/approval auto 或 /yolo</w:t>
            </w:r>
          </w:p>
        </w:tc>
        <w:tc>
          <w:tcPr>
            <w:tcW w:type="dxa" w:w="4535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上述操作自动放行;仅命中红线的危险命令仍会询问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访问 open(默认)</w:t>
            </w:r>
          </w:p>
        </w:tc>
        <w:tc>
          <w:tcPr>
            <w:tcW w:type="dxa" w:w="2041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/access open</w:t>
            </w:r>
          </w:p>
        </w:tc>
        <w:tc>
          <w:tcPr>
            <w:tcW w:type="dxa" w:w="4535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允许系统按需读取项目内文件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访问 safe</w:t>
            </w:r>
          </w:p>
        </w:tc>
        <w:tc>
          <w:tcPr>
            <w:tcW w:type="dxa" w:w="2041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/access safe</w:t>
            </w:r>
          </w:p>
        </w:tc>
        <w:tc>
          <w:tcPr>
            <w:tcW w:type="dxa" w:w="4535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一切读取须由研究者以 @ 显式引用,系统不自行读取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红线始终有效:删除类命令、强制推送、数据库删表等危险操作,无论处于何种档位都会要求确认。原始数据目录 data/ 在任何档位下均只读。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5EE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E6B3A"/>
                <w:sz w:val="20"/>
              </w:rPr>
              <w:t>档位选择建议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初次使用或处理重要数据时,保持默认的 ask + open。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批量重复性工作(如逐篇下载、批量导出)可临时切到 auto 提高效率,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完成后切回。涉及未公开数据的分析,建议使用 safe 访问档位。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36"/>
        </w:rPr>
        <w:t>第二章　文献检索与全文获取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文献是 AI 辅助研究中最易出现学术事故的环节。真正的风险不在于检索失败,而在于获得一份格式规范却并不存在的书目。本章所述流程,每一步均可核验。</w:t>
      </w: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2.1　文献检索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「帮我找工作倦怠与离职意向近三年的研究,英文的,15 篇左右」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「再找找中文文献,心理学报和心理科学上的」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「这些太老了,只要 2024 年之后的」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系统将同时检索多个学术数据库(OpenAlex、Crossref、EuropePMC 等),去重后一并给出题录、年份、被引次数与 DOI。「近三年」以实际当前年份计算。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撰写综述时,沿引用网络检索更为有效: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「这篇很关键,帮我找找引用了它的后续研究」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「顺着这篇的参考文献往回找源头」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5EE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E6B3A"/>
                <w:sz w:val="20"/>
              </w:rPr>
              <w:t>实用建议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关键词检索易遗漏措辞不同的重要文献;以公认的经典文献为起点前后追溯,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是更稳妥的综述路径。研究者只需指定种子文献。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2.2　全文获取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「把上面这几篇下载下来」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「第 3 篇和第 7 篇下载一下」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开放获取文献将直接下载至 outputs/pdfs 目录。遇付费墙时,系统不会就此中止,而是引导使用研究者本人的机构权限获取:</w:t>
      </w:r>
    </w:p>
    <w:p>
      <w:pPr>
        <w:pStyle w:val="ListNumber"/>
        <w:spacing w:after="60" w:line="336" w:lineRule="auto"/>
      </w:pPr>
      <w:r>
        <w:rPr>
          <w:rFonts w:ascii="Arial Unicode MS" w:hAnsi="Arial Unicode MS" w:eastAsia="Arial Unicode MS" w:cs="Arial Unicode MS" w:hint="eastAsia"/>
          <w:sz w:val="21"/>
        </w:rPr>
        <w:t>系统打开所在机构的访问入口(校园网代理或 LibKey);</w:t>
      </w:r>
    </w:p>
    <w:p>
      <w:pPr>
        <w:pStyle w:val="ListNumber"/>
        <w:spacing w:after="60" w:line="336" w:lineRule="auto"/>
      </w:pPr>
      <w:r>
        <w:rPr>
          <w:rFonts w:ascii="Arial Unicode MS" w:hAnsi="Arial Unicode MS" w:eastAsia="Arial Unicode MS" w:cs="Arial Unicode MS" w:hint="eastAsia"/>
          <w:sz w:val="21"/>
        </w:rPr>
        <w:t>在浏览器中以机构账号登录——该步骤须由研究者本人完成,PsyClaw 不接触账号与密码;</w:t>
      </w:r>
    </w:p>
    <w:p>
      <w:pPr>
        <w:pStyle w:val="ListNumber"/>
        <w:spacing w:after="60" w:line="336" w:lineRule="auto"/>
      </w:pPr>
      <w:r>
        <w:rPr>
          <w:rFonts w:ascii="Arial Unicode MS" w:hAnsi="Arial Unicode MS" w:eastAsia="Arial Unicode MS" w:cs="Arial Unicode MS" w:hint="eastAsia"/>
          <w:sz w:val="21"/>
        </w:rPr>
        <w:t>点击页面上的下载按钮,保存至默认下载目录即可,无需另存至指定位置,亦无需重命名;</w:t>
      </w:r>
    </w:p>
    <w:p>
      <w:pPr>
        <w:pStyle w:val="ListNumber"/>
        <w:spacing w:after="60" w:line="336" w:lineRule="auto"/>
      </w:pPr>
      <w:r>
        <w:rPr>
          <w:rFonts w:ascii="Arial Unicode MS" w:hAnsi="Arial Unicode MS" w:eastAsia="Arial Unicode MS" w:cs="Arial Unicode MS" w:hint="eastAsia"/>
          <w:sz w:val="21"/>
        </w:rPr>
        <w:t>返回对话说明已下载完成,系统将自动将文件收入项目,并按「作者_年份_题名」重新命名。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若已安装配套浏览器扩展,第 3 步亦可省去,系统将直接取回文件。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BF3E2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8A5A00"/>
                <w:sz w:val="20"/>
              </w:rPr>
              <w:t>关于付费墙文献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PsyClaw 不绕过任何付费墙,所使用的始终是研究者本人已有的机构权限。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若所在单位未订阅该刊,系统将如实告知无法获取,不作其他尝试。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使用 Zotero 者,可先在本人文库中检索: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「先在我的 Zotero 里看看有没有这几篇」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「把这篇加到我的 Zotero 文库」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「这篇我库里有全文,读一下它的方法部分」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2.3　引用真实性核查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该步骤应在交稿前执行: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「帮我核一下这份稿子里的参考文献,是不是每条都真实存在」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系统将稿件中每条参考文献送至学术数据库逐条查证,并严格区分以下三种结果: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1814"/>
            <w:shd w:val="clear" w:fill="E8EDF3"/>
          </w:tcPr>
          <w:p>
            <w:r/>
            <w:r>
              <w:rPr>
                <w:rFonts w:ascii="Arial Unicode MS" w:hAnsi="Arial Unicode MS" w:eastAsia="Arial Unicode MS" w:cs="Arial Unicode MS" w:hint="eastAsia"/>
                <w:b/>
                <w:sz w:val="19"/>
              </w:rPr>
              <w:t>结果</w:t>
            </w:r>
          </w:p>
        </w:tc>
        <w:tc>
          <w:tcPr>
            <w:tcW w:type="dxa" w:w="6463"/>
            <w:shd w:val="clear" w:fill="E8EDF3"/>
          </w:tcPr>
          <w:p>
            <w:r/>
            <w:r>
              <w:rPr>
                <w:rFonts w:ascii="Arial Unicode MS" w:hAnsi="Arial Unicode MS" w:eastAsia="Arial Unicode MS" w:cs="Arial Unicode MS" w:hint="eastAsia"/>
                <w:b/>
                <w:sz w:val="19"/>
              </w:rPr>
              <w:t>含义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查到了</w:t>
            </w:r>
          </w:p>
        </w:tc>
        <w:tc>
          <w:tcPr>
            <w:tcW w:type="dxa" w:w="646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该文献真实存在,作者与年份都对得上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查无此文</w:t>
            </w:r>
          </w:p>
        </w:tc>
        <w:tc>
          <w:tcPr>
            <w:tcW w:type="dxa" w:w="646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疑似杜撰或著录有误,将明确标出待处理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无法查证</w:t>
            </w:r>
          </w:p>
        </w:tc>
        <w:tc>
          <w:tcPr>
            <w:tcW w:type="dxa" w:w="646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网络不通,或该类文献本就不被数据库收录(如中文专著、内部报告)——只提示,不当作杜撰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F4E79"/>
                <w:sz w:val="20"/>
              </w:rPr>
              <w:t>该步骤的必要性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格式规整、卷期页码齐全、正文引用与文末列表完全一致的虚构条目,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仅凭人工查阅与格式检查无法识别,须经数据库实际查证。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「查无此文」与「无法查证」为两类不同结果,后者不会误判未被收录的中文文献。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2.4　从主题到可复查的检索计划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正式综述不建议直接从关键词搜索开始。先把中英文检索式、目标条数和纳入/排除标准写入项目,再执行检索,可以避免看到结果后临时改变标准。没有可用模型时,计划仍会生成模板骨架,但不会假装已经完成领域同义词扩展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「先为正念训练与考试焦虑生成中英文检索式和纳入排除标准」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「把检索计划写进 notes,我先人工确认标准」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psyclaw lit "正念训练对大学生考试焦虑的干预效果" --plan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主要产物是 notes/search_plan.md 与 notes/screening_criteria.json。前者包含公开 API和机构库的操作路线,后者是筛选标准的机器可读真源。标准确认后,再进入正式检索。</w:t>
      </w: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2.5　多源检索、去重与 PRISMA 记录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公开检索核支持 OpenAlex、Crossref、Europe PMC、arXiv 和 Semantic Scholar。各来源被归一为同一题录格式,保留标题、作者、年份、DOI、摘要、来源、OA 状态和全文链接。系统优先按 DOI 去重,没有 DOI 时再按规范化标题去重,并记录原始命中、去重后命中、重复数和分来源计数。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psyclaw lit "正念训练对大学生考试焦虑的干预效果" --sources openalex,crossref,europepmc --limit 10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检索结束后检查 notes/lit_search.json 与 notes/prisma_search.md。中文主题覆盖不足时,可显式启用 WebBridge 访问用户已登录的知网、万方或维普,也可以把人工导出的结果回灌:psyclaw lit --import &lt;文件&gt;。桥接失败不会伪造结果,而是保留公开 API 结果并提示下一步。</w:t>
      </w: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2.6　筛选、全文与文献矩阵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正式 literature 流程会对标题和摘要做确定性相关性初筛,并写入 notes/prisma_flow.md。这一步是候选排序和人工复核起点,不是语义精筛,也不是研究质量评价。纳入文献的全文按 Europe PMC OA XML、Unpaywall、arXiv、明确 OA 链接和机构权限顺序获取;付费墙不会被绕过。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「把纳入候选生成文献矩阵,没有全文的内容全部标待核查」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「把开放获取的文献下载到项目里,并记录文件 hash」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psyclaw lit --matrix "正念训练对大学生考试焦虑的干预效果"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>psyclaw lit "正念训练对大学生考试焦虑的干预效果" --download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矩阵产物为 notes/lit_matrix.md 和 notes/evidence_map.json。未知研究对象、方法、发现和局限不会由系统猜测,而会标注「待核查」或「全文未获取」。PDF 下载会检查文件魔数、规范命名和 SHA-256,审计记录位于 outputs/pdfs/pdf_audit.json。</w:t>
      </w: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2.7　Evidence Map 与有据综述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Evidence Map 是检索结果和自然语言综述之间的机器可读中间层。它为每篇文献生成可消歧的 citation key,记录年份范围、OA 数量、重复主题词以及主题到支持文献的映射。配置了真实 Provider 且有检索命中时,模型只能使用 Evidence Map 中的引用键和摘要片段;没有 Provider、没有命中或模型调用失败时,系统生成明确标注的确定性骨架。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无模型时不会默认降级为 MockProvider。确定性骨架是可追溯的内部产物,不能当作正式的模型综述或真实环境验收证据。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psyclaw lit "正念训练对大学生考试焦虑的干预效果" --synthesize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2.8　引用核验与流程验收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引用核验优先读取 notes/evidence_map.json,回落到 notes/lit_search.json,按首位作者姓氏和年份检查文内引用是否来自真实检索语料,并双向检查参考文献表。结果写入notes/citation_audit.json 与 notes/citation_audit.md;没有语料或格式特殊时明确标记人工核验。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完整流程的入口是 psyclaw run literature。正式运行先检查研究准备 gate,每一步写检查点,最后生成 notes/workflow_summary.json。缺少 Provider 或 API key 会明确失败;--exploratory 只能由用户显式选择,跳过的 gate 会写入 notes/gate_skips.md。流程中断后可用 --resume 继续,不会把终端的一句「完成」当成唯一证据。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psyclaw run literature "正念训练对大学生考试焦虑的干预效果"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>psyclaw run literature "正念训练对大学生考试焦虑的干预效果" --resume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BF3E2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8A5A00"/>
                <w:sz w:val="20"/>
              </w:rPr>
              <w:t>文献模块当前状态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代码与离线自动化测试已覆盖: workflow、检索、初筛、合成、矩阵、桥接、付费墙、引用和 Zotero。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仍需真实验收: Provider 下的完整流程、真实 WebBridge 三库、机构 SSO、Zotero 文库和全文质量。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当前初筛是题录级确定性初筛;review 在 literature workflow 中仍是可选步骤。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36"/>
        </w:rPr>
        <w:t>第三章　统计分析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研究者无需编写代码。说明研究问题、变量与数据位置后,系统将生成分析脚本、交由成熟统计库运行,并解读结果。脚本保存于 scripts/ 目录,可供他人复现验证。</w:t>
      </w:r>
    </w:p>
    <w:p>
      <w:pPr>
        <w:spacing w:after="4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首次进行统计分析前,需安装统计库(仅需一次):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pip install "psyclaw[stats]"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3.1　分析前的准备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分析结果的可信度,很大程度上取决于分析计划确定于接触数据之前还是之后。因此第一步并非运行数据,而是记录分析计划。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「我要研究工作倦怠在工作满意度和离职意向之间的中介作用,帮我把研究准备清单过一遍」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「这个假设是确证性的,帮我先声明下来」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「我打算用中介分析,样本量需要多少?」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系统将逐项询问:结局如何定义、自变量如何操作化、排除标准为何、拟采用何种检验。完成后该清单将保存下来,供撰写方法部分、进行预注册与稿件检查时使用。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5EE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E6B3A"/>
                <w:sz w:val="20"/>
              </w:rPr>
              <w:t>实用建议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「先声明,后分析」并非形式要求。已声明的假设属确证性,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未经声明所得结果属探索性——二者在论文中的表述方式与证据分量截然不同。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PsyClaw 将守住这一界线,避免探索性结果被表述为确证性发现。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3.2　数据清理与量表计分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「数据在 data/clean/survey.csv,帮我看看这份数据什么情况」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「帮我按 MBI 的计分规则算总分,第 13、14 题是反向题」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「有没有明显乱答的被试?比如一直选同一个选项的」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系统可执行规则化的反向题翻转、子量表求和、缺失值处理,并识别可疑作答模式。量表计分规则由研究者提供一次(见附录 B),此后持续可用；信度和其他统计量会生成委托成熟统计库的可复现脚本或交给 MCP 后端执行。</w:t>
      </w: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3.3　执行分析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「帮我做个中介分析,自变量工作满意度,中介变量倦怠,因变量离职意向」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「两组比较一下,看看性别有没有差异」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「帮我看看这些数据适不适合做回归,前提假设满足吗」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「把这个分析写成脚本,我要能自己重跑」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系统将生成脚本并运行,随后以日常语言解读结果:先说明结果的实际含义,再给出统计数值。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F4E79"/>
                <w:sz w:val="20"/>
              </w:rPr>
              <w:t>统计报告规范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· 必报效应量与 95% 置信区间,不止于 p 值;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· p 值大于 .05 即如实报告不显著,不使用「边缘显著」「显著趋势」等表述;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· 相关不等于因果,涉及因果的表述附带识别假设;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· 脚本未实际运行前,不提供含具体数值的「示例结果」。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3.4　完整流程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如需系统串联执行完整分析流程: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「帮我把这份数据的分析从头走一遍:先描述,再主分析,最后做稳健性检验」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「我要做元分析,效应量表在这个文件里」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「这是访谈转录稿,帮我做主题分析」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36"/>
        </w:rPr>
        <w:t>第四章　论文写作与润色</w:t>
      </w: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4.1　撰写初稿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「根据上面的分析结果,帮我写方法部分」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「结果部分写一下,按 APA 格式报告」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「帮我把讨论部分的第二段改得紧凑一些」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「这段话太啰嗦了,精简到 150 字以内」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撰写过程遵循两条规则:统计数值仅使用实际运行所得结果,缺失处以「(待回填)」占位并在文末列出清单;引用仅使用检索所得真实文献,缺失处标注「(待补引)」,检索到后再行填补,不以看似合理的条目填充。</w:t>
      </w: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4.2　投稿前检查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「帮我按 APA 规范检查一下这份稿子」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「对照 JARS 清单看看还缺什么」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「帮我审一下这篇,像 Nature 审稿人那样,尽量挑刺」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检查将一次性汇总以下结果:JARS 清单是否存在遗漏、参考文献是否均真实存在、格式是否符合目标期刊要求、结论是否具备相应的分析支撑。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5EE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E6B3A"/>
                <w:sz w:val="20"/>
              </w:rPr>
              <w:t>内置审稿流程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审稿模拟基于从 1287 篇 Nature 审稿报告中提炼的流程: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分 12 个维度逐一审查,并给出可执行的修改建议。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投稿前先行自查,可显著降低因基础问题被拒的风险。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4.3　图表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「帮我画一张中介模型的路径图」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「把这三组的均值画成柱状图,APA 风格」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「这张图的纵轴是不是截断了?看着有点夸大」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图表保存至 figures/ 目录,中文标签正常显示。系统亦会提示截断坐标轴等易造成误导的呈现方式。</w:t>
      </w: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4.4　导出与投稿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「导出成 Word,APA7 格式」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「按心理学报的格式导出」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「这篇准备投心理科学,帮我看看格式要求对不对得上」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导出的 Word 文件版式确定:字体、行距、三级标题、参考文献悬挂缩进与页码位置均按目标期刊要求排布,图片真实嵌入。当前支持 APA7、心理学报、心理科学三种格式。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36"/>
        </w:rPr>
        <w:t>第五章　使用建议与能力边界</w:t>
      </w: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5.1　使用建议</w:t>
      </w:r>
    </w:p>
    <w:p>
      <w:pPr>
        <w:pStyle w:val="ListBullet"/>
        <w:spacing w:after="60" w:line="336" w:lineRule="auto"/>
      </w:pPr>
      <w:r>
        <w:rPr>
          <w:rFonts w:ascii="Arial Unicode MS" w:hAnsi="Arial Unicode MS" w:eastAsia="Arial Unicode MS" w:cs="Arial Unicode MS" w:hint="eastAsia"/>
          <w:sz w:val="21"/>
        </w:rPr>
        <w:t>每项课题使用 psyclaw new 单独建立目录,进度与目标相互隔离。</w:t>
      </w:r>
    </w:p>
    <w:p>
      <w:pPr>
        <w:pStyle w:val="ListBullet"/>
        <w:spacing w:after="60" w:line="336" w:lineRule="auto"/>
      </w:pPr>
      <w:r>
        <w:rPr>
          <w:rFonts w:ascii="Arial Unicode MS" w:hAnsi="Arial Unicode MS" w:eastAsia="Arial Unicode MS" w:cs="Arial Unicode MS" w:hint="eastAsia"/>
          <w:sz w:val="21"/>
        </w:rPr>
        <w:t>开始时先说明研究目标,系统将予以记录,后续建议均围绕该目标给出。</w:t>
      </w:r>
    </w:p>
    <w:p>
      <w:pPr>
        <w:pStyle w:val="ListBullet"/>
        <w:spacing w:after="60" w:line="336" w:lineRule="auto"/>
      </w:pPr>
      <w:r>
        <w:rPr>
          <w:rFonts w:ascii="Arial Unicode MS" w:hAnsi="Arial Unicode MS" w:eastAsia="Arial Unicode MS" w:cs="Arial Unicode MS" w:hint="eastAsia"/>
          <w:sz w:val="21"/>
        </w:rPr>
        <w:t>过程中可询问当前进展,系统将汇报进度并给出后续建议。</w:t>
      </w:r>
    </w:p>
    <w:p>
      <w:pPr>
        <w:pStyle w:val="ListBullet"/>
        <w:spacing w:after="60" w:line="336" w:lineRule="auto"/>
      </w:pPr>
      <w:r>
        <w:rPr>
          <w:rFonts w:ascii="Arial Unicode MS" w:hAnsi="Arial Unicode MS" w:eastAsia="Arial Unicode MS" w:cs="Arial Unicode MS" w:hint="eastAsia"/>
          <w:sz w:val="21"/>
        </w:rPr>
        <w:t>对系统所做变更存疑时,可直接询问其改动了哪些文件。</w:t>
      </w:r>
    </w:p>
    <w:p>
      <w:pPr>
        <w:pStyle w:val="ListBullet"/>
        <w:spacing w:after="60" w:line="336" w:lineRule="auto"/>
      </w:pPr>
      <w:r>
        <w:rPr>
          <w:rFonts w:ascii="Arial Unicode MS" w:hAnsi="Arial Unicode MS" w:eastAsia="Arial Unicode MS" w:cs="Arial Unicode MS" w:hint="eastAsia"/>
          <w:sz w:val="21"/>
        </w:rPr>
        <w:t>若系统声称无法完成某项操作,而该功能理应存在,通常是未匹配到对应能力;更换表述重新提出即可。</w:t>
      </w: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5.2　能力边界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以下能力边界请在使用前知悉:</w:t>
      </w:r>
    </w:p>
    <w:p>
      <w:pPr>
        <w:pStyle w:val="ListNumber"/>
        <w:spacing w:after="60" w:line="336" w:lineRule="auto"/>
      </w:pPr>
      <w:r>
        <w:rPr>
          <w:rFonts w:ascii="Arial Unicode MS" w:hAnsi="Arial Unicode MS" w:eastAsia="Arial Unicode MS" w:cs="Arial Unicode MS" w:hint="eastAsia"/>
          <w:sz w:val="21"/>
        </w:rPr>
        <w:t>不代为构思研究问题。系统可协助厘清表述、指出逻辑漏洞,但选题仍由研究者决定。</w:t>
      </w:r>
    </w:p>
    <w:p>
      <w:pPr>
        <w:pStyle w:val="ListNumber"/>
        <w:spacing w:after="60" w:line="336" w:lineRule="auto"/>
      </w:pPr>
      <w:r>
        <w:rPr>
          <w:rFonts w:ascii="Arial Unicode MS" w:hAnsi="Arial Unicode MS" w:eastAsia="Arial Unicode MS" w:cs="Arial Unicode MS" w:hint="eastAsia"/>
          <w:sz w:val="21"/>
        </w:rPr>
        <w:t>不内置量表库。常用量表的条目与计分规则需由研究者提供一次(见附录 B),此后持续可用。</w:t>
      </w:r>
    </w:p>
    <w:p>
      <w:pPr>
        <w:pStyle w:val="ListNumber"/>
        <w:spacing w:after="60" w:line="336" w:lineRule="auto"/>
      </w:pPr>
      <w:r>
        <w:rPr>
          <w:rFonts w:ascii="Arial Unicode MS" w:hAnsi="Arial Unicode MS" w:eastAsia="Arial Unicode MS" w:cs="Arial Unicode MS" w:hint="eastAsia"/>
          <w:sz w:val="21"/>
        </w:rPr>
        <w:t>无法获取所在单位未订阅的文献。系统使用的是研究者本人的机构权限,权限不足时不作其他尝试。</w:t>
      </w:r>
    </w:p>
    <w:p>
      <w:pPr>
        <w:pStyle w:val="ListNumber"/>
        <w:spacing w:after="60" w:line="336" w:lineRule="auto"/>
      </w:pPr>
      <w:r>
        <w:rPr>
          <w:rFonts w:ascii="Arial Unicode MS" w:hAnsi="Arial Unicode MS" w:eastAsia="Arial Unicode MS" w:cs="Arial Unicode MS" w:hint="eastAsia"/>
          <w:sz w:val="21"/>
        </w:rPr>
        <w:t>不承担学术责任。全部统计解读与文献引用最终均须研究者本人复核——论文的责任作者是研究者。</w:t>
      </w: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5.3　风险提示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BF3E2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8A5A00"/>
                <w:sz w:val="20"/>
              </w:rPr>
              <w:t>务必留意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· 关键引用须阅读原文。查证仅能确认文献真实存在,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 xml:space="preserve">  不能确认其支持所提出的论点;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· 涉及被试隐私的数据,发送至模型前须确认符合所在伦理委员会要求;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· 原始数据须自行备份。PsyClaw 不写入 data/ 目录,但备份责任在研究者;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· AI 生成的全部内容,发表后署名的是研究者本人。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5.4　问题排查</w:t>
      </w:r>
    </w:p>
    <w:p>
      <w:pPr>
        <w:spacing w:after="4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可在对话中直接说明问题,例如某步骤报错或结果异常,系统通常可自行定位。若属环境问题,在终端执行: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psyclaw doctor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仍无法解决时,请将当时的原始输出提交至项目页面:https://github.com/Exekiel179/psyclaw/issues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36"/>
        </w:rPr>
        <w:t>第六章　流程编排与能力扩展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前几章介绍的是单步操作。当研究进入需要多步骤串联的阶段时,可使用流程编排；当内置能力不足时，可通过 System Skill Pack、既有宿主 Skill与 MCP 扩展。</w:t>
      </w: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6.1　四类研究流程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流程会自动串联「设计 → 执行 → 产出 → 评审」各环节,并在每个环节留下可复现的记录。可在对话中直接说明,亦可在终端指定流程类型。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474"/>
            <w:shd w:val="clear" w:fill="E8EDF3"/>
          </w:tcPr>
          <w:p>
            <w:r/>
            <w:r>
              <w:rPr>
                <w:rFonts w:ascii="Arial Unicode MS" w:hAnsi="Arial Unicode MS" w:eastAsia="Arial Unicode MS" w:cs="Arial Unicode MS" w:hint="eastAsia"/>
                <w:b/>
                <w:sz w:val="19"/>
              </w:rPr>
              <w:t>流程</w:t>
            </w:r>
          </w:p>
        </w:tc>
        <w:tc>
          <w:tcPr>
            <w:tcW w:type="dxa" w:w="1928"/>
            <w:shd w:val="clear" w:fill="E8EDF3"/>
          </w:tcPr>
          <w:p>
            <w:r/>
            <w:r>
              <w:rPr>
                <w:rFonts w:ascii="Arial Unicode MS" w:hAnsi="Arial Unicode MS" w:eastAsia="Arial Unicode MS" w:cs="Arial Unicode MS" w:hint="eastAsia"/>
                <w:b/>
                <w:sz w:val="19"/>
              </w:rPr>
              <w:t>适用研究类型</w:t>
            </w:r>
          </w:p>
        </w:tc>
        <w:tc>
          <w:tcPr>
            <w:tcW w:type="dxa" w:w="5102"/>
            <w:shd w:val="clear" w:fill="E8EDF3"/>
          </w:tcPr>
          <w:p>
            <w:r/>
            <w:r>
              <w:rPr>
                <w:rFonts w:ascii="Arial Unicode MS" w:hAnsi="Arial Unicode MS" w:eastAsia="Arial Unicode MS" w:cs="Arial Unicode MS" w:hint="eastAsia"/>
                <w:b/>
                <w:sz w:val="19"/>
              </w:rPr>
              <w:t>主要环节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analysis</w:t>
            </w:r>
          </w:p>
        </w:tc>
        <w:tc>
          <w:tcPr>
            <w:tcW w:type="dxa" w:w="1928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实证数据分析</w:t>
            </w:r>
          </w:p>
        </w:tc>
        <w:tc>
          <w:tcPr>
            <w:tcW w:type="dxa" w:w="5102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数据画像 → 设计核对 → 推荐分析并生成脚本 → 结果评审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meta</w:t>
            </w:r>
          </w:p>
        </w:tc>
        <w:tc>
          <w:tcPr>
            <w:tcW w:type="dxa" w:w="1928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元分析</w:t>
            </w:r>
          </w:p>
        </w:tc>
        <w:tc>
          <w:tcPr>
            <w:tcW w:type="dxa" w:w="5102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效应量表校验 → 生成可复现脚本 → 撰写 → 评审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literature</w:t>
            </w:r>
          </w:p>
        </w:tc>
        <w:tc>
          <w:tcPr>
            <w:tcW w:type="dxa" w:w="1928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文献综述</w:t>
            </w:r>
          </w:p>
        </w:tc>
        <w:tc>
          <w:tcPr>
            <w:tcW w:type="dxa" w:w="5102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研究准备 → 检索 → PRISMA 筛选 → 综述合成 → 评审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qualitative</w:t>
            </w:r>
          </w:p>
        </w:tc>
        <w:tc>
          <w:tcPr>
            <w:tcW w:type="dxa" w:w="1928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质性研究</w:t>
            </w:r>
          </w:p>
        </w:tc>
        <w:tc>
          <w:tcPr>
            <w:tcW w:type="dxa" w:w="5102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载入转录稿 → 设计 → 主题分析 → COREQ 报告 → 评审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「帮我把这份数据的实证分析流程完整走一遍,数据在 data/clean/survey.csv」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「我要做一个关于正念干预的元分析,效应量表已经整理好了」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「帮我做工作倦怠这个主题的文献综述,要按 PRISMA 流程」</w:t>
            </w:r>
          </w:p>
        </w:tc>
      </w:tr>
    </w:tbl>
    <w:p>
      <w:pPr>
        <w:spacing w:after="80"/>
      </w:pPr>
    </w:p>
    <w:p>
      <w:pPr>
        <w:spacing w:after="4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对应的终端形式(需要精确控制时使用):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psyclaw run analysis data/clean/survey.csv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>psyclaw run literature --topic 工作倦怠与离职意向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>psyclaw run qualitative data/transcripts/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三个常用选项:--confirm-each 在每步完成后暂停确认;--resume 从上次中断处继续;--exploratory 允许跳过未完成的前置检查,产出将被明确标注为探索性。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F4E79"/>
                <w:sz w:val="20"/>
              </w:rPr>
              <w:t>关于自动推进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除上述四类流程外,还可让系统根据项目当前状态自主决定下一步: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在对话中说明「按现在的进度继续推进」即可。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强制性检查与不可逆决策仍会暂停并征求同意,不会一路跑到底。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6.2　Skill：按领域加载方法学流程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Skill 是 Agent 可检索的结构化流程说明。v0.23.0 将“发现、安装、启用”分开：core 随包启用；其他领域包默认只显示为可用，安装或显式启用后才会进入默认检索。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721"/>
            <w:shd w:val="clear" w:fill="E8EDF3"/>
          </w:tcPr>
          <w:p>
            <w:r/>
            <w:r>
              <w:rPr>
                <w:rFonts w:ascii="Arial Unicode MS" w:hAnsi="Arial Unicode MS" w:eastAsia="Arial Unicode MS" w:cs="Arial Unicode MS" w:hint="eastAsia"/>
                <w:b/>
                <w:sz w:val="19"/>
              </w:rPr>
              <w:t>System Skill Pack</w:t>
            </w:r>
          </w:p>
        </w:tc>
        <w:tc>
          <w:tcPr>
            <w:tcW w:type="dxa" w:w="5896"/>
            <w:shd w:val="clear" w:fill="E8EDF3"/>
          </w:tcPr>
          <w:p>
            <w:r/>
            <w:r>
              <w:rPr>
                <w:rFonts w:ascii="Arial Unicode MS" w:hAnsi="Arial Unicode MS" w:eastAsia="Arial Unicode MS" w:cs="Arial Unicode MS" w:hint="eastAsia"/>
                <w:b/>
                <w:sz w:val="19"/>
              </w:rPr>
              <w:t>用途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core</w:t>
            </w:r>
          </w:p>
        </w:tc>
        <w:tc>
          <w:tcPr>
            <w:tcW w:type="dxa" w:w="5896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研究工作流路由与学术质量检查；随包安装且锁定启用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research-design</w:t>
            </w:r>
          </w:p>
        </w:tc>
        <w:tc>
          <w:tcPr>
            <w:tcW w:type="dxa" w:w="5896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分析规划、混淆控制与样本量设计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literature</w:t>
            </w:r>
          </w:p>
        </w:tc>
        <w:tc>
          <w:tcPr>
            <w:tcW w:type="dxa" w:w="5896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真实检索、PRISMA 筛选与证据综合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quantitative</w:t>
            </w:r>
          </w:p>
        </w:tc>
        <w:tc>
          <w:tcPr>
            <w:tcW w:type="dxa" w:w="5896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统计函数路由与可复现分析规划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writing-review</w:t>
            </w:r>
          </w:p>
        </w:tc>
        <w:tc>
          <w:tcPr>
            <w:tcW w:type="dxa" w:w="5896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论文质量检查、同行评审与回复信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agent-learning</w:t>
            </w:r>
          </w:p>
        </w:tc>
        <w:tc>
          <w:tcPr>
            <w:tcW w:type="dxa" w:w="5896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从资料与轨迹蒸馏可复用 Skill</w:t>
            </w:r>
          </w:p>
        </w:tc>
      </w:tr>
    </w:tbl>
    <w:p>
      <w:pPr>
        <w:spacing w:after="80"/>
      </w:pPr>
    </w:p>
    <w:p>
      <w:pPr>
        <w:spacing w:after="4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查看、安装或更新领域包: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psyclaw skills --packs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>psyclaw skills --pack-install research-design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>psyclaw skills --pack-update writing-review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系统也会只读发现 Claude Code、Codex、cc-switch 和插件提供的 Skill。同名副本不会静默择一，可在 Registry 中审计来源和重复项。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BF3E2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8A5A00"/>
                <w:sz w:val="20"/>
              </w:rPr>
              <w:t>安全提示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非 core Skill 必须安装领域包或显式启用，发现不等于已验证。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第三方 Skill 会影响 Agent 的执行流程，请确认来源可信并审阅其权限需求。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带来源的 Claim-Evidence 验证通过前，资料蒸馏产生的 Skill 只能处于候选状态。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6.3　MCP：接入外部统计软件与服务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MCP(Model Context Protocol)用于把外部工具接入对话。配置完成后,这些工具与内置能力一样可被直接调用。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948"/>
            <w:shd w:val="clear" w:fill="E8EDF3"/>
          </w:tcPr>
          <w:p>
            <w:r/>
            <w:r>
              <w:rPr>
                <w:rFonts w:ascii="Arial Unicode MS" w:hAnsi="Arial Unicode MS" w:eastAsia="Arial Unicode MS" w:cs="Arial Unicode MS" w:hint="eastAsia"/>
                <w:b/>
                <w:sz w:val="19"/>
              </w:rPr>
              <w:t>MCP 服务</w:t>
            </w:r>
          </w:p>
        </w:tc>
        <w:tc>
          <w:tcPr>
            <w:tcW w:type="dxa" w:w="5669"/>
            <w:shd w:val="clear" w:fill="E8EDF3"/>
          </w:tcPr>
          <w:p>
            <w:r/>
            <w:r>
              <w:rPr>
                <w:rFonts w:ascii="Arial Unicode MS" w:hAnsi="Arial Unicode MS" w:eastAsia="Arial Unicode MS" w:cs="Arial Unicode MS" w:hint="eastAsia"/>
                <w:b/>
                <w:sz w:val="19"/>
              </w:rPr>
              <w:t>用途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pystat</w:t>
            </w:r>
          </w:p>
        </w:tc>
        <w:tc>
          <w:tcPr>
            <w:tcW w:type="dxa" w:w="5669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Python 统计计算(psyclaw 的统计委托通道)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r-mcp</w:t>
            </w:r>
          </w:p>
        </w:tc>
        <w:tc>
          <w:tcPr>
            <w:tcW w:type="dxa" w:w="5669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调用本机 R 环境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spss-mcp / stata-mcp / mplus-mcp</w:t>
            </w:r>
          </w:p>
        </w:tc>
        <w:tc>
          <w:tcPr>
            <w:tcW w:type="dxa" w:w="5669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调用 SPSS、Stata、Mplus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mne-mcp</w:t>
            </w:r>
          </w:p>
        </w:tc>
        <w:tc>
          <w:tcPr>
            <w:tcW w:type="dxa" w:w="5669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脑电与脑磁数据处理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zotero-mcp</w:t>
            </w:r>
          </w:p>
        </w:tc>
        <w:tc>
          <w:tcPr>
            <w:tcW w:type="dxa" w:w="5669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Zotero 文献管理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osf-mcp</w:t>
            </w:r>
          </w:p>
        </w:tc>
        <w:tc>
          <w:tcPr>
            <w:tcW w:type="dxa" w:w="5669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OSF 预注册与资料托管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sequential-thinking</w:t>
            </w:r>
          </w:p>
        </w:tc>
        <w:tc>
          <w:tcPr>
            <w:tcW w:type="dxa" w:w="5669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复杂问题的分步推理</w:t>
            </w:r>
          </w:p>
        </w:tc>
      </w:tr>
    </w:tbl>
    <w:p>
      <w:pPr>
        <w:spacing w:after="80"/>
      </w:pPr>
    </w:p>
    <w:p>
      <w:pPr>
        <w:spacing w:after="4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查看目录与启用状态: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psyclaw mcp        # 查看 MCP 目录与当前启用状态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>psyclaw config     # 配置向导中可完成密钥与路径设置</w:t>
            </w:r>
          </w:p>
        </w:tc>
      </w:tr>
    </w:tbl>
    <w:p>
      <w:pPr>
        <w:spacing w:after="80"/>
      </w:pP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已有 SPSS、Mplus 使用习惯的研究者，可通过对应 MCP 继续使用原有软件，由 PsyClaw 负责流程串联与结果归档。PsyClaw 也会发现宿主已有 MCP 配置；项目级配置默认仅发现、不执行，确认项目可信后才可显式信任。当前执行客户端仅支持 stdio MCP。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5EE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E6B3A"/>
                <w:sz w:val="20"/>
              </w:rPr>
              <w:t>实用建议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MCP 采用惰性加载：未实际调用时不会启动对应进程。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配置中的环境变量只传给对应 MCP 子进程，不会显示在 Agent 上下文中。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所有写盘、下载和外部副作用仍沿用审批机制。</w:t>
            </w:r>
          </w:p>
        </w:tc>
      </w:tr>
    </w:tbl>
    <w:p>
      <w:pPr>
        <w:spacing w:after="80"/>
      </w:pPr>
    </w:p>
    <w:p>
      <w:pPr>
        <w:pStyle w:val="Heading2"/>
        <w:spacing w:before="24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28"/>
        </w:rPr>
        <w:t>6.4　资料编译与可审计 Skill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已有的论文、访谈材料、网页或视频资料可先编译为可检索的项目材料，再由 Agent建立带哈希、来源和验证状态的证据账本。资料可导航不代表结论已被验证；Skill 的晋升仍需要人工核查。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psyclaw convert materials.docx --out notes/materials.md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>psyclaw convert --url https://example.org/video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36"/>
        </w:rPr>
        <w:t>附录 A　常用表述速查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下表左列为常见需求,右列为可直接采用的表述。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494"/>
            <w:shd w:val="clear" w:fill="E8EDF3"/>
          </w:tcPr>
          <w:p>
            <w:r/>
            <w:r>
              <w:rPr>
                <w:rFonts w:ascii="Arial Unicode MS" w:hAnsi="Arial Unicode MS" w:eastAsia="Arial Unicode MS" w:cs="Arial Unicode MS" w:hint="eastAsia"/>
                <w:b/>
                <w:sz w:val="19"/>
              </w:rPr>
              <w:t>想做的事</w:t>
            </w:r>
          </w:p>
        </w:tc>
        <w:tc>
          <w:tcPr>
            <w:tcW w:type="dxa" w:w="6123"/>
            <w:shd w:val="clear" w:fill="E8EDF3"/>
          </w:tcPr>
          <w:p>
            <w:r/>
            <w:r>
              <w:rPr>
                <w:rFonts w:ascii="Arial Unicode MS" w:hAnsi="Arial Unicode MS" w:eastAsia="Arial Unicode MS" w:cs="Arial Unicode MS" w:hint="eastAsia"/>
                <w:b/>
                <w:sz w:val="19"/>
              </w:rPr>
              <w:t>可以这样说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开始一个新研究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我要研究 X 对 Y 的影响,先把研究准备清单过一遍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找文献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帮我找 X 近三年的研究,15 篇左右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顺着引用找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帮我找找引用了这篇的后续研究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下载全文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把上面这几篇下载下来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用机构权限拿付费文章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这篇有付费墙,帮我走机构权限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查我的 Zotero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先在我的 Zotero 里看看有没有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核查引用真伪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核一下这稿子里的参考文献是不是都真实存在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看数据情况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数据在这个文件,帮我看看什么情况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量表计分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按这个量表的规则算总分,第 N 题是反向题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做分析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帮我做个中介分析,自变量 X,中介 M,因变量 Y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检查前提假设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这些数据适合做回归吗,前提假设满足吗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写稿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根据分析结果帮我写方法部分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润色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这段太啰嗦,精简到 150 字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规范检查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按 APA 规范检查一下这份稿子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模拟审稿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帮我审一下这篇,尽量挑刺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画图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把这三组均值画成柱状图,APA 风格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导出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导出成心理学报格式的 Word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看进度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现在进展到哪了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走完整分析流程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帮我把这份数据的实证分析流程完整走一遍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做文献综述流程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帮我做这个主题的文献综述,按 PRISMA 流程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自主推进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按现在的进度继续推进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放宽审批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/approval auto(批量操作时用,完成后切回)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收紧文件访问</w:t>
            </w:r>
          </w:p>
        </w:tc>
        <w:tc>
          <w:tcPr>
            <w:tcW w:type="dxa" w:w="6123"/>
          </w:tcPr>
          <w:p>
            <w:r/>
            <w:r>
              <w:rPr>
                <w:rFonts w:ascii="Arial Unicode MS" w:hAnsi="Arial Unicode MS" w:eastAsia="Arial Unicode MS" w:cs="Arial Unicode MS" w:hint="eastAsia"/>
                <w:sz w:val="18"/>
              </w:rPr>
              <w:t>/access safe(处理未公开数据时用)</w:t>
            </w:r>
          </w:p>
        </w:tc>
      </w:tr>
    </w:tbl>
    <w:p>
      <w:pPr>
        <w:spacing w:after="80"/>
      </w:pPr>
    </w:p>
    <w:p>
      <w:pPr>
        <w:pStyle w:val="Heading1"/>
        <w:spacing w:before="36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36"/>
        </w:rPr>
        <w:t>附录 B　自定义量表配置</w:t>
      </w:r>
    </w:p>
    <w:p>
      <w:pPr>
        <w:spacing w:after="12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PsyClaw 不内置量表库——常用量表版本众多、计分规则各异,内置不完整的量表库反而易致误用。研究者提供一次所用量表,此后持续可用。</w:t>
      </w:r>
    </w:p>
    <w:p>
      <w:pPr>
        <w:spacing w:after="4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最简便的方式是在对话中直接说明: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1F8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F4E79"/>
                <w:sz w:val="20"/>
              </w:rPr>
              <w:t>对话示例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「我要用 MBI 通用版,16 题,0–6 计分,第 13、14 题反向,分三个维度:情绪衰竭 1–5 题,玩世不恭 6–9 题,职业效能 10–16 题。帮我把它加到量表定义里」</w:t>
            </w:r>
          </w:p>
        </w:tc>
      </w:tr>
    </w:tbl>
    <w:p>
      <w:pPr>
        <w:spacing w:after="80"/>
      </w:pPr>
    </w:p>
    <w:p>
      <w:pPr>
        <w:spacing w:after="4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系统将生成量表定义文件保存至项目中。亦可自行在 .psyclaw/scales/ 目录下编写,格式如下: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F2F2F2"/>
          </w:tcPr>
          <w:p>
            <w:pPr>
              <w:spacing w:after="0" w:line="276" w:lineRule="auto"/>
            </w:pPr>
            <w:r/>
            <w:r>
              <w:rPr>
                <w:rFonts w:ascii="Menlo" w:hAnsi="Menlo"/>
                <w:color w:val="444444"/>
                <w:sz w:val="18"/>
              </w:rPr>
              <w:t>- id: mbi-gs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 xml:space="preserve">  name: Maslach 倦怠量表(通用版)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 xml:space="preserve">  items: 16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 xml:space="preserve">  scale_min: 0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 xml:space="preserve">  scale_max: 6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 xml:space="preserve">  reverse: [13, 14]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 xml:space="preserve">  subscales: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 xml:space="preserve">    情绪衰竭: [1, 2, 3, 4, 5]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 xml:space="preserve">    玩世不恭: [6, 7, 8, 9]</w:t>
            </w:r>
          </w:p>
          <w:p>
            <w:pPr>
              <w:spacing w:after="0" w:line="276" w:lineRule="auto"/>
            </w:pPr>
            <w:r>
              <w:rPr>
                <w:rFonts w:ascii="Menlo" w:hAnsi="Menlo"/>
                <w:color w:val="444444"/>
                <w:sz w:val="18"/>
              </w:rPr>
              <w:t xml:space="preserve">    职业效能: [10, 11, 12, 13, 14, 15, 16]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fill="EAF5EE"/>
          </w:tcPr>
          <w:p>
            <w:pPr>
              <w:spacing w:after="40"/>
            </w:pPr>
            <w:r/>
            <w:r>
              <w:rPr>
                <w:rFonts w:ascii="Arial Unicode MS" w:hAnsi="Arial Unicode MS" w:eastAsia="Arial Unicode MS" w:cs="Arial Unicode MS" w:hint="eastAsia"/>
                <w:b/>
                <w:color w:val="1E6B3A"/>
                <w:sz w:val="20"/>
              </w:rPr>
              <w:t>实用建议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量表定义编写一次即可跨研究复用。建议将课题组常用量表一次性配置完成,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并在 name 字段注明所用中文修订版本及来源文献——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 w:cs="Arial Unicode MS" w:hint="eastAsia"/>
                <w:sz w:val="19"/>
              </w:rPr>
              <w:t>撰写方法部分时需引用。</w:t>
            </w:r>
          </w:p>
        </w:tc>
      </w:tr>
    </w:tbl>
    <w:p>
      <w:pPr>
        <w:spacing w:after="80"/>
      </w:pPr>
    </w:p>
    <w:p>
      <w:pPr>
        <w:pStyle w:val="Heading1"/>
        <w:spacing w:before="360" w:after="160"/>
      </w:pPr>
      <w:r>
        <w:rPr>
          <w:rFonts w:ascii="Arial Unicode MS" w:hAnsi="Arial Unicode MS" w:eastAsia="Arial Unicode MS" w:cs="Arial Unicode MS" w:hint="eastAsia"/>
          <w:b/>
          <w:color w:val="1A1A1A"/>
          <w:sz w:val="36"/>
        </w:rPr>
        <w:t>附录 C　常见问题</w:t>
      </w:r>
    </w:p>
    <w:p>
      <w:pPr>
        <w:spacing w:after="40" w:line="360" w:lineRule="auto"/>
      </w:pPr>
      <w:r>
        <w:rPr>
          <w:rFonts w:ascii="Arial Unicode MS" w:hAnsi="Arial Unicode MS" w:eastAsia="Arial Unicode MS" w:cs="Arial Unicode MS" w:hint="eastAsia"/>
          <w:b/>
          <w:i w:val="0"/>
          <w:sz w:val="21"/>
        </w:rPr>
        <w:t>问:一定要联网吗?</w:t>
      </w:r>
    </w:p>
    <w:p>
      <w:pPr>
        <w:spacing w:after="16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答:文献检索与引用核查需联网;撰写、检查、导出、计分均可离线进行。调用模型本身需要网络连接。</w:t>
      </w:r>
    </w:p>
    <w:p>
      <w:pPr>
        <w:spacing w:after="40" w:line="360" w:lineRule="auto"/>
      </w:pPr>
      <w:r>
        <w:rPr>
          <w:rFonts w:ascii="Arial Unicode MS" w:hAnsi="Arial Unicode MS" w:eastAsia="Arial Unicode MS" w:cs="Arial Unicode MS" w:hint="eastAsia"/>
          <w:b/>
          <w:i w:val="0"/>
          <w:sz w:val="21"/>
        </w:rPr>
        <w:t>问:我的数据会被上传吗?</w:t>
      </w:r>
    </w:p>
    <w:p>
      <w:pPr>
        <w:spacing w:after="16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答:PsyClaw 不会主动读取原始数据目录。在对话中明确指定读取的文件,其内容将随请求发送至所配置的模型服务——涉及被试隐私时请审慎处理,并确认符合伦理委员会要求。</w:t>
      </w:r>
    </w:p>
    <w:p>
      <w:pPr>
        <w:spacing w:after="40" w:line="360" w:lineRule="auto"/>
      </w:pPr>
      <w:r>
        <w:rPr>
          <w:rFonts w:ascii="Arial Unicode MS" w:hAnsi="Arial Unicode MS" w:eastAsia="Arial Unicode MS" w:cs="Arial Unicode MS" w:hint="eastAsia"/>
          <w:b/>
          <w:i w:val="0"/>
          <w:sz w:val="21"/>
        </w:rPr>
        <w:t>问:能替代 SPSS 或 JASP 吗?</w:t>
      </w:r>
    </w:p>
    <w:p>
      <w:pPr>
        <w:spacing w:after="16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答:定位不同。其长处在于串联完整流程并留下可复现记录;点选式软件的即时探索体验则非其所长。二者可并行使用。</w:t>
      </w:r>
    </w:p>
    <w:p>
      <w:pPr>
        <w:spacing w:after="40" w:line="360" w:lineRule="auto"/>
      </w:pPr>
      <w:r>
        <w:rPr>
          <w:rFonts w:ascii="Arial Unicode MS" w:hAnsi="Arial Unicode MS" w:eastAsia="Arial Unicode MS" w:cs="Arial Unicode MS" w:hint="eastAsia"/>
          <w:b/>
          <w:i w:val="0"/>
          <w:sz w:val="21"/>
        </w:rPr>
        <w:t>问:生成的稿子能直接投吗?</w:t>
      </w:r>
    </w:p>
    <w:p>
      <w:pPr>
        <w:spacing w:after="16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答:不能。全部统计解读与文献引用均须研究者本人复核。其价值在于将易错环节转化为可核验的流程,而非代为承担责任。</w:t>
      </w:r>
    </w:p>
    <w:p>
      <w:pPr>
        <w:spacing w:after="40" w:line="360" w:lineRule="auto"/>
      </w:pPr>
      <w:r>
        <w:rPr>
          <w:rFonts w:ascii="Arial Unicode MS" w:hAnsi="Arial Unicode MS" w:eastAsia="Arial Unicode MS" w:cs="Arial Unicode MS" w:hint="eastAsia"/>
          <w:b/>
          <w:i w:val="0"/>
          <w:sz w:val="21"/>
        </w:rPr>
        <w:t>问:它会不会编造文献?</w:t>
      </w:r>
    </w:p>
    <w:p>
      <w:pPr>
        <w:spacing w:after="16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答:不会。检索失败时如实告知,并给出后续可行方案。交稿前可要求其将每条参考文献送数据库逐条核验。</w:t>
      </w:r>
    </w:p>
    <w:p>
      <w:pPr>
        <w:spacing w:after="40" w:line="360" w:lineRule="auto"/>
      </w:pPr>
      <w:r>
        <w:rPr>
          <w:rFonts w:ascii="Arial Unicode MS" w:hAnsi="Arial Unicode MS" w:eastAsia="Arial Unicode MS" w:cs="Arial Unicode MS" w:hint="eastAsia"/>
          <w:b/>
          <w:i w:val="0"/>
          <w:sz w:val="21"/>
        </w:rPr>
        <w:t>问:换电脑了怎么办?</w:t>
      </w:r>
    </w:p>
    <w:p>
      <w:pPr>
        <w:spacing w:after="160" w:line="360" w:lineRule="auto"/>
      </w:pPr>
      <w:r>
        <w:rPr>
          <w:rFonts w:ascii="Arial Unicode MS" w:hAnsi="Arial Unicode MS" w:eastAsia="Arial Unicode MS" w:cs="Arial Unicode MS" w:hint="eastAsia"/>
          <w:b w:val="0"/>
          <w:i w:val="0"/>
          <w:sz w:val="21"/>
        </w:rPr>
        <w:t>答:重新安装即可。配置与量表定义随项目目录保存,拷贝项目目录至新机器即可继续使用。</w:t>
      </w:r>
    </w:p>
    <w:p>
      <w:pPr>
        <w:spacing w:after="120" w:line="360" w:lineRule="auto"/>
        <w:jc w:val="center"/>
      </w:pPr>
      <w:r>
        <w:rPr>
          <w:rFonts w:ascii="Arial Unicode MS" w:hAnsi="Arial Unicode MS" w:eastAsia="Arial Unicode MS" w:cs="Arial Unicode MS" w:hint="eastAsia"/>
          <w:b w:val="0"/>
          <w:i w:val="0"/>
          <w:color w:val="444444"/>
          <w:sz w:val="19"/>
        </w:rPr>
        <w:t>PsyClaw v0.23.0 · 源码、问题反馈与协作交接:https://github.com/Exekiel179/psyclaw · MIT 许可</w:t>
      </w:r>
    </w:p>
    <w:sectPr w:rsidR="00FC693F" w:rsidRPr="0006063C" w:rsidSect="00034616">
      <w:footerReference w:type="default" r:id="rId9"/>
      <w:pgSz w:w="12240" w:h="15840"/>
      <w:pgMar w:top="1361" w:right="1587" w:bottom="1361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 w:cs="Arial Unicode MS" w:hint="eastAsia"/>
        <w:color w:val="888888"/>
        <w:sz w:val="16"/>
      </w:rPr>
      <w:t>PsyClaw 使用白皮书 · v0.23.0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