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p>
      <w:pPr>
        <w:pStyle w:val="Normal"/>
      </w:pPr>
    </w:p>
    <w:p>
      <w:pPr>
        <w:pStyle w:val="PCTitle"/>
      </w:pPr>
      <w:r>
        <w:t xml:space="preserve">正念干预对大学生焦虑的影响:一项随机对照试验</w:t>
      </w:r>
    </w:p>
    <w:p>
      <w:pPr>
        <w:pStyle w:val="Normal"/>
      </w:pPr>
    </w:p>
    <w:p>
      <w:pPr>
        <w:pStyle w:val="PCCenter"/>
      </w:pPr>
      <w:r>
        <w:t xml:space="preserve">张三, 李四</w:t>
      </w:r>
    </w:p>
    <w:p>
      <w:pPr>
        <w:pStyle w:val="PCCenter"/>
      </w:pPr>
      <w:r>
        <w:t xml:space="preserve">某大学心理学院</w:t>
      </w:r>
    </w:p>
    <w:p>
      <w:r>
        <w:br w:type="page"/>
      </w:r>
    </w:p>
    <w:p>
      <w:pPr>
        <w:pStyle w:val="PCH1"/>
      </w:pPr>
      <w:r>
        <w:t xml:space="preserve">Abstract</w:t>
      </w:r>
    </w:p>
    <w:p>
      <w:pPr>
        <w:pStyle w:val="PCNoIndent"/>
      </w:pPr>
      <w:r>
        <w:t xml:space="preserve">本研究检验 8 周正念减压干预对大学生焦虑的效果。200 名本科生被随机分配至干预组或等待组。ANCOVA 显示干预组后测焦虑显著低于对照组,d = 0.45, 95% CI [0.17, 0.73]。</w:t>
      </w:r>
    </w:p>
    <w:p>
      <w:pPr>
        <w:pStyle w:val="PCBody"/>
      </w:pPr>
      <w:r>
        <w:rPr>
          <w:i/>
        </w:rPr>
        <w:t xml:space="preserve">Keywords: </w:t>
      </w:r>
      <w:r>
        <w:t xml:space="preserve">正念, 焦虑, RCT, 大学生</w:t>
      </w:r>
    </w:p>
    <w:p>
      <w:r>
        <w:br w:type="page"/>
      </w:r>
    </w:p>
    <w:p>
      <w:pPr>
        <w:pStyle w:val="PCH1"/>
      </w:pPr>
      <w:r>
        <w:t xml:space="preserve">正念干预对大学生焦虑的影响:一项随机对照试验</w:t>
      </w:r>
    </w:p>
    <w:p>
      <w:pPr>
        <w:pStyle w:val="PCH1"/>
      </w:pPr>
      <w:r>
        <w:t xml:space="preserve">引言</w:t>
      </w:r>
    </w:p>
    <w:p>
      <w:pPr>
        <w:pStyle w:val="PCBody"/>
      </w:pPr>
      <w:r>
        <w:t xml:space="preserve">焦虑是大学生最常见的心理健康问题之一。</w:t>
      </w:r>
    </w:p>
    <w:p>
      <w:pPr>
        <w:pStyle w:val="PCH2"/>
      </w:pPr>
      <w:r>
        <w:t xml:space="preserve">正念与焦虑</w:t>
      </w:r>
    </w:p>
    <w:p>
      <w:pPr>
        <w:pStyle w:val="PCBody"/>
      </w:pPr>
      <w:r>
        <w:t xml:space="preserve">已有元分析表明正念干预对焦虑有中等效应。</w:t>
      </w:r>
    </w:p>
    <w:p>
      <w:pPr>
        <w:pStyle w:val="PCH1"/>
      </w:pPr>
      <w:r>
        <w:t xml:space="preserve">方法</w:t>
      </w:r>
    </w:p>
    <w:p>
      <w:pPr>
        <w:pStyle w:val="PCH2"/>
      </w:pPr>
      <w:r>
        <w:t xml:space="preserve">被试</w:t>
      </w:r>
    </w:p>
    <w:p>
      <w:pPr>
        <w:pStyle w:val="PCBody"/>
      </w:pPr>
      <w:r>
        <w:t xml:space="preserve">经 G*Power 功效分析(α = .05, 功效 = .80, d = .40),每组需 100 人。</w:t>
      </w:r>
    </w:p>
    <w:p>
      <w:pPr>
        <w:pStyle w:val="PCH3"/>
      </w:pPr>
      <w:r>
        <w:t xml:space="preserve">剔除标准</w:t>
      </w:r>
    </w:p>
    <w:p>
      <w:pPr>
        <w:pStyle w:val="PCBody"/>
      </w:pPr>
      <w:r>
        <w:t xml:space="preserve">草率作答按预注册标准筛查(longstring、IRV)。</w:t>
      </w:r>
    </w:p>
    <w:p>
      <w:pPr>
        <w:pStyle w:val="PCH1"/>
      </w:pPr>
      <w:r>
        <w:t xml:space="preserve">结果</w:t>
      </w:r>
    </w:p>
    <w:p>
      <w:pPr>
        <w:pStyle w:val="PCBody"/>
      </w:pPr>
      <w:r>
        <w:t xml:space="preserve">ANCOVA 显示组别主效应显著,F(1, 197) = 10.24, p = .002, η² = .049。</w:t>
      </w:r>
    </w:p>
    <w:p>
      <w:pPr>
        <w:pStyle w:val="PCH1"/>
      </w:pPr>
      <w:r>
        <w:t xml:space="preserve">讨论</w:t>
      </w:r>
    </w:p>
    <w:p>
      <w:pPr>
        <w:pStyle w:val="PCBody"/>
      </w:pPr>
      <w:r>
        <w:t xml:space="preserve">结果支持正念干预的有效性。</w:t>
      </w:r>
    </w:p>
    <w:p>
      <w:r>
        <w:br w:type="page"/>
      </w:r>
    </w:p>
    <w:p>
      <w:pPr>
        <w:pStyle w:val="PCH1"/>
      </w:pPr>
      <w:r>
        <w:t xml:space="preserve">References</w:t>
      </w:r>
    </w:p>
    <w:p>
      <w:pPr>
        <w:pStyle w:val="PCRef"/>
      </w:pPr>
      <w:r>
        <w:t xml:space="preserve">Delacre, M., Lakens, D., &amp; Leys, C. (2017). Why psychologists should by default use Welch's t-test. International Review of Social Psychology, 30(1), 92-101.</w:t>
      </w:r>
    </w:p>
    <w:p>
      <w:pPr>
        <w:pStyle w:val="PCRef"/>
      </w:pPr>
      <w:r>
        <w:t xml:space="preserve">Richard, F. D., Bond, C. F., &amp; Stokes-Zoota, J. J. (2003). One hundred years of social psychology quantitatively described. Review of General Psychology, 7(4), 331-363.</w:t>
      </w:r>
    </w:p>
    <w:sectPr>
      <w:headerReference w:type="default" r:id="rIdH1"/>
      <w:pgSz w:w="12240" w:h="15840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szCs w:val="24"/>
      </w:rPr>
    </w:rPrDefault>
    <w:pPrDefault>
      <w:pPr>
        <w:spacing w:line="480" w:lineRule="auto" w:after="0"/>
      </w:pPr>
    </w:pPrDefault>
  </w:docDefaults>
  <w:style w:type="paragraph" w:styleId="Normal" w:default="1">
    <w:name w:val="Normal"/>
  </w:style>
  <w:style w:type="paragraph" w:styleId="PCBody">
    <w:name w:val="PC Body"/>
    <w:basedOn w:val="Normal"/>
    <w:pPr>
      <w:ind w:firstLine="720"/>
    </w:pPr>
  </w:style>
  <w:style w:type="paragraph" w:styleId="PCNoIndent">
    <w:name w:val="PC NoIndent"/>
    <w:basedOn w:val="Normal"/>
  </w:style>
  <w:style w:type="paragraph" w:styleId="PCTitle">
    <w:name w:val="PC Title"/>
    <w:basedOn w:val="Normal"/>
    <w:pPr>
      <w:jc w:val="center"/>
    </w:pPr>
    <w:rPr>
      <w:b/>
    </w:rPr>
  </w:style>
  <w:style w:type="paragraph" w:styleId="PCCenter">
    <w:name w:val="PC Center"/>
    <w:basedOn w:val="Normal"/>
    <w:pPr>
      <w:jc w:val="center"/>
    </w:pPr>
  </w:style>
  <w:style w:type="paragraph" w:styleId="PCH1">
    <w:name w:val="PC Heading 1"/>
    <w:basedOn w:val="Normal"/>
    <w:pPr>
      <w:jc w:val="center"/>
      <w:outlineLvl w:val="0"/>
    </w:pPr>
    <w:rPr>
      <w:b/>
    </w:rPr>
  </w:style>
  <w:style w:type="paragraph" w:styleId="PCH2">
    <w:name w:val="PC Heading 2"/>
    <w:basedOn w:val="Normal"/>
    <w:pPr>
      <w:outlineLvl w:val="1"/>
    </w:pPr>
    <w:rPr>
      <w:b/>
    </w:rPr>
  </w:style>
  <w:style w:type="paragraph" w:styleId="PCH3">
    <w:name w:val="PC Heading 3"/>
    <w:basedOn w:val="Normal"/>
    <w:pPr>
      <w:outlineLvl w:val="2"/>
    </w:pPr>
    <w:rPr>
      <w:b/>
      <w:i/>
    </w:rPr>
  </w:style>
  <w:style w:type="paragraph" w:styleId="PCRef">
    <w:name w:val="PC Reference"/>
    <w:basedOn w:val="Normal"/>
    <w:pPr>
      <w:ind w:left="720" w:hanging="720"/>
    </w:pPr>
  </w:style>
</w:styles>
</file>

<file path=word/_rels/document.xml.rels><?xml version="1.0" encoding="UTF-8" standalone="yes"?>
<Relationships xmlns="http://schemas.openxmlformats.org/package/2006/relationships">
<Relationship Id="rIdH1" Type="http://schemas.openxmlformats.org/officeDocument/2006/relationships/header" Target="header1.xml"/>
<Relationship Id="rIdS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正念干预对大学生焦虑的影响:一项随机对照试验</dc:title>
  <dc:creator>PsyClaw APA7 Engine</dc:creator>
</cp:coreProperties>
</file>