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b/>
          <w:sz w:val="20"/>
        </w:rPr>
        <w:t>APT122 — Capstone · Fase 1 — Definición Proyecto APT</w:t>
        <w:br/>
        <w:t>Autoevaluacion — Exequiel Alvarado Navarrete</w:t>
        <w:br/>
        <w:t>Ingeniería en Informática · Sede Antonio Varas</w:t>
        <w:br/>
        <w:t>Proyecto APT: Chatbot de Soporte Genérico Alloxentric</w:t>
      </w:r>
    </w:p>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shd w:val="clear" w:fill="D9E2F3"/>
          </w:tcPr>
          <w:p>
            <w:pPr>
              <w:jc w:val="center"/>
            </w:pPr>
            <w:r>
              <w:rPr>
                <w:b/>
                <w:color w:val="1F3B73"/>
                <w:sz w:val="18"/>
              </w:rPr>
              <w:t>X  MI NIVEL</w:t>
            </w:r>
          </w:p>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shd w:val="clear" w:fill="D9E2F3"/>
          </w:tcPr>
          <w:p>
            <w:pPr>
              <w:jc w:val="center"/>
            </w:pPr>
            <w:r>
              <w:rPr>
                <w:b/>
                <w:color w:val="1F3B73"/>
                <w:sz w:val="18"/>
              </w:rPr>
              <w:t>X  MI NIVEL</w:t>
            </w:r>
          </w:p>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shd w:val="clear" w:fill="D9E2F3"/>
          </w:tcPr>
          <w:p>
            <w:pPr>
              <w:jc w:val="center"/>
            </w:pPr>
            <w:r>
              <w:rPr>
                <w:b/>
                <w:color w:val="1F3B73"/>
                <w:sz w:val="18"/>
              </w:rPr>
              <w:t>X  MI NIVEL</w:t>
            </w:r>
          </w:p>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shd w:val="clear" w:fill="D9E2F3"/>
          </w:tcPr>
          <w:p>
            <w:pPr>
              <w:jc w:val="center"/>
            </w:pPr>
            <w:r>
              <w:rPr>
                <w:b/>
                <w:color w:val="1F3B73"/>
                <w:sz w:val="18"/>
              </w:rPr>
              <w:t>X  MI NIVEL</w:t>
            </w:r>
          </w:p>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shd w:val="clear" w:fill="D9E2F3"/>
          </w:tcPr>
          <w:p>
            <w:pPr>
              <w:jc w:val="center"/>
            </w:pPr>
            <w:r>
              <w:rPr>
                <w:b/>
                <w:color w:val="1F3B73"/>
                <w:sz w:val="18"/>
              </w:rPr>
              <w:t>X  MI NIVEL</w:t>
            </w:r>
          </w:p>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shd w:val="clear" w:fill="D9E2F3"/>
          </w:tcPr>
          <w:p>
            <w:pPr>
              <w:jc w:val="center"/>
            </w:pPr>
            <w:r>
              <w:rPr>
                <w:b/>
                <w:color w:val="1F3B73"/>
                <w:sz w:val="18"/>
              </w:rPr>
              <w:t>X  MI NIVEL</w:t>
            </w:r>
          </w:p>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shd w:val="clear" w:fill="D9E2F3"/>
          </w:tcPr>
          <w:p>
            <w:pPr>
              <w:jc w:val="center"/>
            </w:pPr>
            <w:r>
              <w:rPr>
                <w:b/>
                <w:color w:val="1F3B73"/>
                <w:sz w:val="18"/>
              </w:rPr>
              <w:t>X  MI NIVEL</w:t>
            </w:r>
          </w:p>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shd w:val="clear" w:fill="D9E2F3"/>
          </w:tcPr>
          <w:p>
            <w:pPr>
              <w:jc w:val="center"/>
            </w:pPr>
            <w:r>
              <w:rPr>
                <w:b/>
                <w:color w:val="1F3B73"/>
                <w:sz w:val="18"/>
              </w:rPr>
              <w:t>X  MI NIVEL</w:t>
            </w:r>
          </w:p>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shd w:val="clear" w:fill="D9E2F3"/>
          </w:tcPr>
          <w:p>
            <w:pPr>
              <w:jc w:val="center"/>
            </w:pPr>
            <w:r>
              <w:rPr>
                <w:b/>
                <w:color w:val="1F3B73"/>
                <w:sz w:val="18"/>
              </w:rPr>
              <w:t>X  MI NIVEL</w:t>
            </w:r>
          </w:p>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shd w:val="clear" w:fill="D9E2F3"/>
          </w:tcPr>
          <w:p>
            <w:pPr>
              <w:jc w:val="center"/>
            </w:pPr>
            <w:r>
              <w:rPr>
                <w:b/>
                <w:color w:val="1F3B73"/>
                <w:sz w:val="18"/>
              </w:rPr>
              <w:t>X  MI NIVEL</w:t>
            </w:r>
          </w:p>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shd w:val="clear" w:fill="D9E2F3"/>
          </w:tcPr>
          <w:p>
            <w:pPr>
              <w:jc w:val="center"/>
            </w:pPr>
            <w:r>
              <w:rPr>
                <w:b/>
                <w:color w:val="1F3B73"/>
                <w:sz w:val="18"/>
              </w:rPr>
              <w:t>X  MI NIVEL</w:t>
            </w:r>
          </w:p>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w:t>
            </w:r>
            <w:r w:rsidRPr="00286901">
              <w:rPr>
                <w:rFonts w:asciiTheme="minorHAnsi" w:eastAsiaTheme="minorEastAsia" w:hAnsiTheme="minorHAnsi" w:cstheme="minorBidi"/>
                <w:color w:val="000000" w:themeColor="text1"/>
                <w:lang w:eastAsia="es-CL"/>
              </w:rPr>
              <w:t xml:space="preserve">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shd w:val="clear" w:fill="D9E2F3"/>
          </w:tcPr>
          <w:p>
            <w:pPr>
              <w:jc w:val="center"/>
            </w:pPr>
            <w:r>
              <w:rPr>
                <w:b/>
                <w:color w:val="1F3B73"/>
                <w:sz w:val="18"/>
              </w:rPr>
              <w:t>X  MI NIVEL</w:t>
            </w:r>
          </w:p>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p>
      <w:r>
        <w:br w:type="page"/>
      </w:r>
    </w:p>
    <w:p>
      <w:r>
        <w:rPr>
          <w:b/>
          <w:sz w:val="26"/>
        </w:rPr>
        <w:t>Resultado de la autoevaluación y plan de mejora</w:t>
      </w:r>
    </w:p>
    <w:tbl>
      <w:tblPr>
        <w:tblStyle w:val="Tablaconcuadrcula"/>
        <w:tblW w:type="auto" w:w="0"/>
        <w:tblLook w:firstColumn="1" w:firstRow="1" w:lastColumn="0" w:lastRow="0" w:noHBand="0" w:noVBand="1" w:val="04A0"/>
      </w:tblPr>
      <w:tblGrid>
        <w:gridCol w:w="3251"/>
        <w:gridCol w:w="3251"/>
        <w:gridCol w:w="3251"/>
        <w:gridCol w:w="3251"/>
      </w:tblGrid>
      <w:tr>
        <w:tc>
          <w:tcPr>
            <w:tcW w:type="dxa" w:w="3251"/>
            <w:shd w:val="clear" w:fill="D9E2F3"/>
          </w:tcPr>
          <w:p>
            <w:r>
              <w:rPr>
                <w:b/>
                <w:sz w:val="18"/>
              </w:rPr>
              <w:t>Indicador de evaluación</w:t>
            </w:r>
          </w:p>
        </w:tc>
        <w:tc>
          <w:tcPr>
            <w:tcW w:type="dxa" w:w="3251"/>
            <w:shd w:val="clear" w:fill="D9E2F3"/>
          </w:tcPr>
          <w:p>
            <w:r>
              <w:rPr>
                <w:b/>
                <w:sz w:val="18"/>
              </w:rPr>
              <w:t>Nivel autoevaluado</w:t>
            </w:r>
          </w:p>
        </w:tc>
        <w:tc>
          <w:tcPr>
            <w:tcW w:type="dxa" w:w="3251"/>
            <w:shd w:val="clear" w:fill="D9E2F3"/>
          </w:tcPr>
          <w:p>
            <w:r>
              <w:rPr>
                <w:b/>
                <w:sz w:val="18"/>
              </w:rPr>
              <w:t>Pond.</w:t>
            </w:r>
          </w:p>
        </w:tc>
        <w:tc>
          <w:tcPr>
            <w:tcW w:type="dxa" w:w="3251"/>
            <w:shd w:val="clear" w:fill="D9E2F3"/>
          </w:tcPr>
          <w:p>
            <w:r>
              <w:rPr>
                <w:b/>
                <w:sz w:val="18"/>
              </w:rPr>
              <w:t>Justificación y mejora comprometida</w:t>
            </w:r>
          </w:p>
        </w:tc>
      </w:tr>
      <w:tr>
        <w:tc>
          <w:tcPr>
            <w:tcW w:type="dxa" w:w="3251"/>
          </w:tcPr>
          <w:p>
            <w:r>
              <w:rPr>
                <w:b w:val="0"/>
                <w:sz w:val="18"/>
              </w:rPr>
              <w:t>1</w:t>
            </w:r>
          </w:p>
        </w:tc>
        <w:tc>
          <w:tcPr>
            <w:tcW w:type="dxa" w:w="3251"/>
          </w:tcPr>
          <w:p>
            <w:r>
              <w:rPr>
                <w:b w:val="0"/>
                <w:sz w:val="18"/>
              </w:rPr>
              <w:t>Completamente Logrado</w:t>
            </w:r>
          </w:p>
        </w:tc>
        <w:tc>
          <w:tcPr>
            <w:tcW w:type="dxa" w:w="3251"/>
          </w:tcPr>
          <w:p>
            <w:r>
              <w:rPr>
                <w:b w:val="0"/>
                <w:sz w:val="18"/>
              </w:rPr>
              <w:t>5%</w:t>
            </w:r>
          </w:p>
        </w:tc>
        <w:tc>
          <w:tcPr>
            <w:tcW w:type="dxa" w:w="3251"/>
          </w:tcPr>
          <w:p>
            <w:r>
              <w:rPr>
                <w:b w:val="0"/>
                <w:sz w:val="18"/>
              </w:rPr>
              <w:t>El informe describe la plataforma multi-tenant de soporte conversacional y justifica su relevancia: el soporte humano dedicado por producto no escala, y una solución reutilizable es un problema real del rubro SaaS en el que se desempeña un ingeniero en informática.</w:t>
            </w:r>
          </w:p>
        </w:tc>
      </w:tr>
      <w:tr>
        <w:tc>
          <w:tcPr>
            <w:tcW w:type="dxa" w:w="3251"/>
          </w:tcPr>
          <w:p>
            <w:r>
              <w:rPr>
                <w:b w:val="0"/>
                <w:sz w:val="18"/>
              </w:rPr>
              <w:t>2</w:t>
            </w:r>
          </w:p>
        </w:tc>
        <w:tc>
          <w:tcPr>
            <w:tcW w:type="dxa" w:w="3251"/>
          </w:tcPr>
          <w:p>
            <w:r>
              <w:rPr>
                <w:b w:val="0"/>
                <w:sz w:val="18"/>
              </w:rPr>
              <w:t>Completamente Logrado</w:t>
            </w:r>
          </w:p>
        </w:tc>
        <w:tc>
          <w:tcPr>
            <w:tcW w:type="dxa" w:w="3251"/>
          </w:tcPr>
          <w:p>
            <w:r>
              <w:rPr>
                <w:b w:val="0"/>
                <w:sz w:val="18"/>
              </w:rPr>
              <w:t>5%</w:t>
            </w:r>
          </w:p>
        </w:tc>
        <w:tc>
          <w:tcPr>
            <w:tcW w:type="dxa" w:w="3251"/>
          </w:tcPr>
          <w:p>
            <w:r>
              <w:rPr>
                <w:b w:val="0"/>
                <w:sz w:val="18"/>
              </w:rPr>
              <w:t>Se identifican cuatro competencias del perfil de egreso y se explicita en qué parte del proyecto se pone en práctica cada una: modelo de datos, desarrollo de la solución, gestión del proyecto y pruebas de certificación.</w:t>
            </w:r>
          </w:p>
        </w:tc>
      </w:tr>
      <w:tr>
        <w:tc>
          <w:tcPr>
            <w:tcW w:type="dxa" w:w="3251"/>
          </w:tcPr>
          <w:p>
            <w:r>
              <w:rPr>
                <w:b w:val="0"/>
                <w:sz w:val="18"/>
              </w:rPr>
              <w:t>3</w:t>
            </w:r>
          </w:p>
        </w:tc>
        <w:tc>
          <w:tcPr>
            <w:tcW w:type="dxa" w:w="3251"/>
          </w:tcPr>
          <w:p>
            <w:r>
              <w:rPr>
                <w:b w:val="0"/>
                <w:sz w:val="18"/>
              </w:rPr>
              <w:t>Completamente Logrado</w:t>
            </w:r>
          </w:p>
        </w:tc>
        <w:tc>
          <w:tcPr>
            <w:tcW w:type="dxa" w:w="3251"/>
          </w:tcPr>
          <w:p>
            <w:r>
              <w:rPr>
                <w:b w:val="0"/>
                <w:sz w:val="18"/>
              </w:rPr>
              <w:t>5%</w:t>
            </w:r>
          </w:p>
        </w:tc>
        <w:tc>
          <w:tcPr>
            <w:tcW w:type="dxa" w:w="3251"/>
          </w:tcPr>
          <w:p>
            <w:r>
              <w:rPr>
                <w:b w:val="0"/>
                <w:sz w:val="18"/>
              </w:rPr>
              <w:t>Los intereses profesionales (backend, arquitecturas multi-tenant y aplicaciones RAG sobre datos propios de una organización) están declarados y conectados con componentes concretos del proyecto.</w:t>
            </w:r>
          </w:p>
        </w:tc>
      </w:tr>
      <w:tr>
        <w:tc>
          <w:tcPr>
            <w:tcW w:type="dxa" w:w="3251"/>
          </w:tcPr>
          <w:p>
            <w:r>
              <w:rPr>
                <w:b w:val="0"/>
                <w:sz w:val="18"/>
              </w:rPr>
              <w:t>4</w:t>
            </w:r>
          </w:p>
        </w:tc>
        <w:tc>
          <w:tcPr>
            <w:tcW w:type="dxa" w:w="3251"/>
          </w:tcPr>
          <w:p>
            <w:r>
              <w:rPr>
                <w:b w:val="0"/>
                <w:sz w:val="18"/>
              </w:rPr>
              <w:t>Completamente Logrado</w:t>
            </w:r>
          </w:p>
        </w:tc>
        <w:tc>
          <w:tcPr>
            <w:tcW w:type="dxa" w:w="3251"/>
          </w:tcPr>
          <w:p>
            <w:r>
              <w:rPr>
                <w:b w:val="0"/>
                <w:sz w:val="18"/>
              </w:rPr>
              <w:t>5%</w:t>
            </w:r>
          </w:p>
        </w:tc>
        <w:tc>
          <w:tcPr>
            <w:tcW w:type="dxa" w:w="3251"/>
          </w:tcPr>
          <w:p>
            <w:r>
              <w:rPr>
                <w:b w:val="0"/>
                <w:sz w:val="18"/>
              </w:rPr>
              <w:t>La factibilidad está argumentada con el recorte de alcance aplicado durante la definición: un MVP acorde a la capacidad real de un solo desarrollador, dejando como roadmap WhatsApp, chat en vivo y crawler. El 28 de agosto la empresa entregó el proyecto ya implementado, que cubre esas tres funcionalidades, por lo que la factibilidad deja de depender de la capacidad de construcción y pasa a depender de la verificación y la puesta en marcha. Se identifican obstaculizadores (verificación de Meta, disponibilidad del cliente) con su mitigación.</w:t>
            </w:r>
          </w:p>
        </w:tc>
      </w:tr>
      <w:tr>
        <w:tc>
          <w:tcPr>
            <w:tcW w:type="dxa" w:w="3251"/>
          </w:tcPr>
          <w:p>
            <w:r>
              <w:rPr>
                <w:b w:val="0"/>
                <w:sz w:val="18"/>
              </w:rPr>
              <w:t>5</w:t>
            </w:r>
          </w:p>
        </w:tc>
        <w:tc>
          <w:tcPr>
            <w:tcW w:type="dxa" w:w="3251"/>
          </w:tcPr>
          <w:p>
            <w:r>
              <w:rPr>
                <w:b w:val="0"/>
                <w:sz w:val="18"/>
              </w:rPr>
              <w:t>Completamente Logrado</w:t>
            </w:r>
          </w:p>
        </w:tc>
        <w:tc>
          <w:tcPr>
            <w:tcW w:type="dxa" w:w="3251"/>
          </w:tcPr>
          <w:p>
            <w:r>
              <w:rPr>
                <w:b w:val="0"/>
                <w:sz w:val="18"/>
              </w:rPr>
              <w:t>10%</w:t>
            </w:r>
          </w:p>
        </w:tc>
        <w:tc>
          <w:tcPr>
            <w:tcW w:type="dxa" w:w="3251"/>
          </w:tcPr>
          <w:p>
            <w:r>
              <w:rPr>
                <w:b w:val="0"/>
                <w:sz w:val="18"/>
              </w:rPr>
              <w:t>El objetivo general y los ocho objetivos específicos están redactados en infinitivo, son verificables y se desprenden del objetivo general.</w:t>
            </w:r>
          </w:p>
        </w:tc>
      </w:tr>
      <w:tr>
        <w:tc>
          <w:tcPr>
            <w:tcW w:type="dxa" w:w="3251"/>
          </w:tcPr>
          <w:p>
            <w:r>
              <w:rPr>
                <w:b w:val="0"/>
                <w:sz w:val="18"/>
              </w:rPr>
              <w:t>6</w:t>
            </w:r>
          </w:p>
        </w:tc>
        <w:tc>
          <w:tcPr>
            <w:tcW w:type="dxa" w:w="3251"/>
          </w:tcPr>
          <w:p>
            <w:r>
              <w:rPr>
                <w:b w:val="0"/>
                <w:sz w:val="18"/>
              </w:rPr>
              <w:t>Completamente Logrado</w:t>
            </w:r>
          </w:p>
        </w:tc>
        <w:tc>
          <w:tcPr>
            <w:tcW w:type="dxa" w:w="3251"/>
          </w:tcPr>
          <w:p>
            <w:r>
              <w:rPr>
                <w:b w:val="0"/>
                <w:sz w:val="18"/>
              </w:rPr>
              <w:t>10%</w:t>
            </w:r>
          </w:p>
        </w:tc>
        <w:tc>
          <w:tcPr>
            <w:tcW w:type="dxa" w:w="3251"/>
          </w:tcPr>
          <w:p>
            <w:r>
              <w:rPr>
                <w:b w:val="0"/>
                <w:sz w:val="18"/>
              </w:rPr>
              <w:t>La metodología es Scrum adaptado a un equipo con un solo desarrollador: sprints de dos semanas, daily asíncrona escrita, review con demo real del sistema y estimación en puntos Fibonacci solo para historias de desarrollo.</w:t>
            </w:r>
          </w:p>
        </w:tc>
      </w:tr>
      <w:tr>
        <w:tc>
          <w:tcPr>
            <w:tcW w:type="dxa" w:w="3251"/>
          </w:tcPr>
          <w:p>
            <w:r>
              <w:rPr>
                <w:b w:val="0"/>
                <w:sz w:val="18"/>
              </w:rPr>
              <w:t>7</w:t>
            </w:r>
          </w:p>
        </w:tc>
        <w:tc>
          <w:tcPr>
            <w:tcW w:type="dxa" w:w="3251"/>
          </w:tcPr>
          <w:p>
            <w:r>
              <w:rPr>
                <w:b w:val="0"/>
                <w:sz w:val="18"/>
              </w:rPr>
              <w:t>Logrado</w:t>
            </w:r>
          </w:p>
        </w:tc>
        <w:tc>
          <w:tcPr>
            <w:tcW w:type="dxa" w:w="3251"/>
          </w:tcPr>
          <w:p>
            <w:r>
              <w:rPr>
                <w:b w:val="0"/>
                <w:sz w:val="18"/>
              </w:rPr>
              <w:t>10%</w:t>
            </w:r>
          </w:p>
        </w:tc>
        <w:tc>
          <w:tcPr>
            <w:tcW w:type="dxa" w:w="3251"/>
          </w:tcPr>
          <w:p>
            <w:r>
              <w:rPr>
                <w:b w:val="0"/>
                <w:sz w:val="18"/>
              </w:rPr>
              <w:t>El plan de trabajo existe con 9 épicas, 67 historias, 277 puntos y 7 sprints, con recursos y responsables. Tras recibir el proyecto construido hubo que replanificar sobre las seis fases del documento del cliente, y ese análisis de brechas ya está escrito. Falta trasladarlo al backlog de Jira, cerrar la Carta Gantt formal en la plantilla 1.5 y afinar la columna de facilitadores y obstaculizadores.</w:t>
            </w:r>
          </w:p>
        </w:tc>
      </w:tr>
      <w:tr>
        <w:tc>
          <w:tcPr>
            <w:tcW w:type="dxa" w:w="3251"/>
          </w:tcPr>
          <w:p>
            <w:r>
              <w:rPr>
                <w:b w:val="0"/>
                <w:sz w:val="18"/>
              </w:rPr>
              <w:t>8</w:t>
            </w:r>
          </w:p>
        </w:tc>
        <w:tc>
          <w:tcPr>
            <w:tcW w:type="dxa" w:w="3251"/>
          </w:tcPr>
          <w:p>
            <w:r>
              <w:rPr>
                <w:b w:val="0"/>
                <w:sz w:val="18"/>
              </w:rPr>
              <w:t>Logrado</w:t>
            </w:r>
          </w:p>
        </w:tc>
        <w:tc>
          <w:tcPr>
            <w:tcW w:type="dxa" w:w="3251"/>
          </w:tcPr>
          <w:p>
            <w:r>
              <w:rPr>
                <w:b w:val="0"/>
                <w:sz w:val="18"/>
              </w:rPr>
              <w:t>10%</w:t>
            </w:r>
          </w:p>
        </w:tc>
        <w:tc>
          <w:tcPr>
            <w:tcW w:type="dxa" w:w="3251"/>
          </w:tcPr>
          <w:p>
            <w:r>
              <w:rPr>
                <w:b w:val="0"/>
                <w:sz w:val="18"/>
              </w:rPr>
              <w:t>Las evidencias están identificadas: repositorio con integración continua —ya configurada y en verde—, batería de pruebas de aislamiento entre empresas, set de preguntas de prueba por cliente, despliegue en producción y video demo. La plataforma de despliegue queda como decisión abierta en un ADR. Aún no han sido acordadas formalmente con el docente.</w:t>
            </w:r>
          </w:p>
        </w:tc>
      </w:tr>
      <w:tr>
        <w:tc>
          <w:tcPr>
            <w:tcW w:type="dxa" w:w="3251"/>
          </w:tcPr>
          <w:p>
            <w:r>
              <w:rPr>
                <w:b w:val="0"/>
                <w:sz w:val="18"/>
              </w:rPr>
              <w:t>9</w:t>
            </w:r>
          </w:p>
        </w:tc>
        <w:tc>
          <w:tcPr>
            <w:tcW w:type="dxa" w:w="3251"/>
          </w:tcPr>
          <w:p>
            <w:r>
              <w:rPr>
                <w:b w:val="0"/>
                <w:sz w:val="18"/>
              </w:rPr>
              <w:t>Completamente Logrado</w:t>
            </w:r>
          </w:p>
        </w:tc>
        <w:tc>
          <w:tcPr>
            <w:tcW w:type="dxa" w:w="3251"/>
          </w:tcPr>
          <w:p>
            <w:r>
              <w:rPr>
                <w:b w:val="0"/>
                <w:sz w:val="18"/>
              </w:rPr>
              <w:t>5%</w:t>
            </w:r>
          </w:p>
        </w:tc>
        <w:tc>
          <w:tcPr>
            <w:tcW w:type="dxa" w:w="3251"/>
          </w:tcPr>
          <w:p>
            <w:r>
              <w:rPr>
                <w:b w:val="0"/>
                <w:sz w:val="18"/>
              </w:rPr>
              <w:t>El informe respeta reglas de redacción y ortografía; las referencias se limitan a documentación técnica oficial, citada con su fuente.</w:t>
            </w:r>
          </w:p>
        </w:tc>
      </w:tr>
      <w:tr>
        <w:tc>
          <w:tcPr>
            <w:tcW w:type="dxa" w:w="3251"/>
          </w:tcPr>
          <w:p>
            <w:r>
              <w:rPr>
                <w:b w:val="0"/>
                <w:sz w:val="18"/>
              </w:rPr>
              <w:t>10</w:t>
            </w:r>
          </w:p>
        </w:tc>
        <w:tc>
          <w:tcPr>
            <w:tcW w:type="dxa" w:w="3251"/>
          </w:tcPr>
          <w:p>
            <w:r>
              <w:rPr>
                <w:b w:val="0"/>
                <w:sz w:val="18"/>
              </w:rPr>
              <w:t>Logrado</w:t>
            </w:r>
          </w:p>
        </w:tc>
        <w:tc>
          <w:tcPr>
            <w:tcW w:type="dxa" w:w="3251"/>
          </w:tcPr>
          <w:p>
            <w:r>
              <w:rPr>
                <w:b w:val="0"/>
                <w:sz w:val="18"/>
              </w:rPr>
              <w:t>5%</w:t>
            </w:r>
          </w:p>
        </w:tc>
        <w:tc>
          <w:tcPr>
            <w:tcW w:type="dxa" w:w="3251"/>
          </w:tcPr>
          <w:p>
            <w:r>
              <w:rPr>
                <w:b w:val="0"/>
                <w:sz w:val="18"/>
              </w:rPr>
              <w:t>El informe sigue la estructura de la guía 1.5, pero el formato definitivo de la escuela se termina de aplicar junto con la entrega grupal.</w:t>
            </w:r>
          </w:p>
        </w:tc>
      </w:tr>
      <w:tr>
        <w:tc>
          <w:tcPr>
            <w:tcW w:type="dxa" w:w="3251"/>
          </w:tcPr>
          <w:p>
            <w:r>
              <w:rPr>
                <w:b w:val="0"/>
                <w:sz w:val="18"/>
              </w:rPr>
              <w:t>11</w:t>
            </w:r>
          </w:p>
        </w:tc>
        <w:tc>
          <w:tcPr>
            <w:tcW w:type="dxa" w:w="3251"/>
          </w:tcPr>
          <w:p>
            <w:r>
              <w:rPr>
                <w:b w:val="0"/>
                <w:sz w:val="18"/>
              </w:rPr>
              <w:t>Logrado</w:t>
            </w:r>
          </w:p>
        </w:tc>
        <w:tc>
          <w:tcPr>
            <w:tcW w:type="dxa" w:w="3251"/>
          </w:tcPr>
          <w:p>
            <w:r>
              <w:rPr>
                <w:b w:val="0"/>
                <w:sz w:val="18"/>
              </w:rPr>
              <w:t>20%</w:t>
            </w:r>
          </w:p>
        </w:tc>
        <w:tc>
          <w:tcPr>
            <w:tcW w:type="dxa" w:w="3251"/>
          </w:tcPr>
          <w:p>
            <w:r>
              <w:rPr>
                <w:b w:val="0"/>
                <w:sz w:val="18"/>
              </w:rPr>
              <w:t>Se cumplen los indicadores de calidad asociados al modelo de datos y al desarrollo de la solución. Los indicadores de diseño y aplicación de pruebas de validación recién quedan comprometidos en el plan y no ejecutados, por lo que no puedo declararlos completamente logrados en esta fase.</w:t>
            </w:r>
          </w:p>
        </w:tc>
      </w:tr>
      <w:tr>
        <w:tc>
          <w:tcPr>
            <w:tcW w:type="dxa" w:w="3251"/>
          </w:tcPr>
          <w:p>
            <w:r>
              <w:rPr>
                <w:b w:val="0"/>
                <w:sz w:val="18"/>
              </w:rPr>
              <w:t>12</w:t>
            </w:r>
          </w:p>
        </w:tc>
        <w:tc>
          <w:tcPr>
            <w:tcW w:type="dxa" w:w="3251"/>
          </w:tcPr>
          <w:p>
            <w:r>
              <w:rPr>
                <w:b w:val="0"/>
                <w:sz w:val="18"/>
              </w:rPr>
              <w:t>Logrado</w:t>
            </w:r>
          </w:p>
        </w:tc>
        <w:tc>
          <w:tcPr>
            <w:tcW w:type="dxa" w:w="3251"/>
          </w:tcPr>
          <w:p>
            <w:r>
              <w:rPr>
                <w:b w:val="0"/>
                <w:sz w:val="18"/>
              </w:rPr>
              <w:t>10%</w:t>
            </w:r>
          </w:p>
        </w:tc>
        <w:tc>
          <w:tcPr>
            <w:tcW w:type="dxa" w:w="3251"/>
          </w:tcPr>
          <w:p>
            <w:r>
              <w:rPr>
                <w:b w:val="0"/>
                <w:sz w:val="18"/>
              </w:rPr>
              <w:t>El abstract, las conclusiones y la reflexión en inglés están redactados con secuencia lógica y vocabulario técnico pertinente. Reconozco que aún requiero revisión de estructuras gramaticales para asegurar el nivel intermedio alto.</w:t>
            </w:r>
          </w:p>
        </w:tc>
      </w:tr>
    </w:tbl>
    <w:p>
      <w:r>
        <w:rPr>
          <w:b/>
          <w:sz w:val="22"/>
        </w:rPr>
        <w:br/>
        <w:t>Puntaje de autoevaluación: 78% de logro.</w:t>
      </w:r>
    </w:p>
    <w:p>
      <w:pPr>
        <w:jc w:val="both"/>
      </w:pPr>
      <w:r>
        <w:rPr>
          <w:sz w:val="20"/>
        </w:rPr>
        <w:t>Aspectos por mejorar antes de la evaluación sumativa. Los tres indicadores más bajos de mi autoevaluación apuntan al mismo punto ciego: la certificación formal de la calidad. Mis acciones comprometidas para la Fase 2 son (1) cerrar la Carta Gantt y la tabla de evidencias acordándolas con el docente en la próxima sesión, (2) implementar en el Sprint 1 el test automatizado de aislamiento entre tenants como condición bloqueante de la integración continua, y (3) construir el golden set de 50 preguntas por cliente para medir la calidad de las respuestas con evidencia y no con impresiones. En inglés, revisar los textos con apoyo de la asignatura antes de la entrega sumativa.</w:t>
      </w: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