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0" w:before="0"/>
      </w:pPr>
    </w:p>
    <w:p>
      <w:pPr>
        <w:spacing w:line="360" w:lineRule="auto" w:after="0" w:before="0"/>
      </w:pPr>
    </w:p>
    <w:p>
      <w:pPr>
        <w:spacing w:line="360" w:lineRule="auto" w:after="0" w:before="0"/>
      </w:pPr>
    </w:p>
    <w:p>
      <w:pPr>
        <w:spacing w:line="360" w:lineRule="auto" w:after="0" w:before="0"/>
      </w:pPr>
    </w:p>
    <w:p>
      <w:pPr>
        <w:spacing w:line="240" w:lineRule="auto" w:after="120" w:before="0"/>
        <w:jc w:val="center"/>
      </w:pPr>
      <w:r>
        <w:rPr>
          <w:rFonts w:ascii="Arial" w:hAnsi="Arial" w:cs="Arial"/>
          <w:b/>
          <w:i w:val="0"/>
          <w:color w:val="1F1F1F"/>
          <w:sz w:val="24"/>
        </w:rPr>
        <w:t>ESCUELA DE INFORMÁTICA Y TELECOMUNICACIONES</w:t>
      </w:r>
    </w:p>
    <w:p>
      <w:pPr>
        <w:spacing w:line="240" w:lineRule="auto" w:after="480" w:before="0"/>
        <w:jc w:val="center"/>
      </w:pPr>
      <w:r>
        <w:rPr>
          <w:rFonts w:ascii="Arial" w:hAnsi="Arial" w:cs="Arial"/>
          <w:b w:val="0"/>
          <w:i w:val="0"/>
          <w:color w:val="1F1F1F"/>
          <w:sz w:val="24"/>
        </w:rPr>
        <w:t>Ingeniería en Informática</w:t>
      </w:r>
    </w:p>
    <w:p>
      <w:pPr>
        <w:spacing w:line="240" w:lineRule="auto" w:after="120" w:before="0"/>
        <w:jc w:val="center"/>
      </w:pPr>
      <w:r>
        <w:rPr>
          <w:rFonts w:ascii="Arial" w:hAnsi="Arial" w:cs="Arial"/>
          <w:b/>
          <w:i w:val="0"/>
          <w:color w:val="1F1F1F"/>
          <w:sz w:val="40"/>
        </w:rPr>
        <w:t>Chatbot de Soporte Genérico Alloxentric</w:t>
      </w:r>
    </w:p>
    <w:p>
      <w:pPr>
        <w:spacing w:line="240" w:lineRule="auto" w:after="80" w:before="0"/>
        <w:jc w:val="center"/>
      </w:pPr>
      <w:r>
        <w:rPr>
          <w:rFonts w:ascii="Arial" w:hAnsi="Arial" w:cs="Arial"/>
          <w:b w:val="0"/>
          <w:i w:val="0"/>
          <w:color w:val="1F1F1F"/>
          <w:sz w:val="26"/>
        </w:rPr>
        <w:t>Informe técnico de definición del Proyecto APT</w:t>
      </w:r>
    </w:p>
    <w:p>
      <w:pPr>
        <w:spacing w:line="240" w:lineRule="auto" w:after="720" w:before="0"/>
        <w:jc w:val="center"/>
      </w:pPr>
      <w:r>
        <w:rPr>
          <w:rFonts w:ascii="Arial" w:hAnsi="Arial" w:cs="Arial"/>
          <w:b w:val="0"/>
          <w:i/>
          <w:color w:val="1F1F1F"/>
          <w:sz w:val="24"/>
        </w:rPr>
        <w:t>Entrega formativa · Fase 1 — Definición Proyecto APT</w:t>
      </w:r>
    </w:p>
    <w:p>
      <w:pPr>
        <w:spacing w:line="240" w:lineRule="auto" w:after="80" w:before="0"/>
        <w:jc w:val="center"/>
      </w:pPr>
      <w:r>
        <w:rPr>
          <w:rFonts w:ascii="Arial" w:hAnsi="Arial" w:cs="Arial"/>
          <w:b/>
          <w:i w:val="0"/>
          <w:color w:val="1F1F1F"/>
          <w:sz w:val="24"/>
        </w:rPr>
        <w:t>Integrantes</w:t>
      </w:r>
    </w:p>
    <w:p>
      <w:pPr>
        <w:spacing w:line="240" w:lineRule="auto" w:after="40" w:before="0"/>
        <w:jc w:val="center"/>
      </w:pPr>
      <w:r>
        <w:rPr>
          <w:rFonts w:ascii="Arial" w:hAnsi="Arial" w:cs="Arial"/>
          <w:b w:val="0"/>
          <w:i w:val="0"/>
          <w:color w:val="1F1F1F"/>
          <w:sz w:val="22"/>
        </w:rPr>
        <w:t>Exequiel Alvarado · ex.alvarado@duocuc.cl · Desarrollo (backend, frontend, infraestructura)</w:t>
      </w:r>
    </w:p>
    <w:p>
      <w:pPr>
        <w:spacing w:line="240" w:lineRule="auto" w:after="40" w:before="0"/>
        <w:jc w:val="center"/>
      </w:pPr>
      <w:r>
        <w:rPr>
          <w:rFonts w:ascii="Arial" w:hAnsi="Arial" w:cs="Arial"/>
          <w:b w:val="0"/>
          <w:i w:val="0"/>
          <w:color w:val="1F1F1F"/>
          <w:sz w:val="22"/>
        </w:rPr>
        <w:t>Diana Guerrero · dia.guerrero@duocuc.cl · Coordinación / Product Owner, planificación Jira</w:t>
      </w:r>
    </w:p>
    <w:p>
      <w:pPr>
        <w:spacing w:line="240" w:lineRule="auto" w:after="40" w:before="0"/>
        <w:jc w:val="center"/>
      </w:pPr>
      <w:r>
        <w:rPr>
          <w:rFonts w:ascii="Arial" w:hAnsi="Arial" w:cs="Arial"/>
          <w:b w:val="0"/>
          <w:i w:val="0"/>
          <w:color w:val="1F1F1F"/>
          <w:sz w:val="22"/>
        </w:rPr>
        <w:t>Manuel Jansen · ma.jansen@duocuc.cl · Diseño de interfaz y mockups</w:t>
      </w:r>
    </w:p>
    <w:p>
      <w:pPr>
        <w:spacing w:line="240" w:lineRule="auto" w:after="40" w:before="0"/>
        <w:jc w:val="center"/>
      </w:pPr>
      <w:r>
        <w:rPr>
          <w:rFonts w:ascii="Arial" w:hAnsi="Arial" w:cs="Arial"/>
          <w:b w:val="0"/>
          <w:i w:val="0"/>
          <w:color w:val="1F1F1F"/>
          <w:sz w:val="22"/>
        </w:rPr>
        <w:t>Cristian Jorquera · cr.jorquerag@duocuc.cl · Aseguramiento de calidad, historias de usuario</w:t>
      </w:r>
    </w:p>
    <w:p>
      <w:pPr>
        <w:spacing w:line="360" w:lineRule="auto" w:after="480" w:before="0"/>
      </w:pPr>
    </w:p>
    <w:p>
      <w:pPr>
        <w:spacing w:line="240" w:lineRule="auto" w:after="40" w:before="0"/>
        <w:jc w:val="center"/>
      </w:pPr>
      <w:r>
        <w:rPr>
          <w:rFonts w:ascii="Arial" w:hAnsi="Arial" w:cs="Arial"/>
          <w:b w:val="0"/>
          <w:i w:val="0"/>
          <w:color w:val="1F1F1F"/>
          <w:sz w:val="22"/>
        </w:rPr>
        <w:t>Asignatura: APT122 — Capstone</w:t>
      </w:r>
    </w:p>
    <w:p>
      <w:pPr>
        <w:spacing w:line="240" w:lineRule="auto" w:after="40" w:before="0"/>
        <w:jc w:val="center"/>
      </w:pPr>
      <w:r>
        <w:rPr>
          <w:rFonts w:ascii="Arial" w:hAnsi="Arial" w:cs="Arial"/>
          <w:b w:val="0"/>
          <w:i w:val="0"/>
          <w:color w:val="1F1F1F"/>
          <w:sz w:val="22"/>
        </w:rPr>
        <w:t>Docente: Arturo Guerra Castro</w:t>
      </w:r>
    </w:p>
    <w:p>
      <w:pPr>
        <w:spacing w:line="240" w:lineRule="auto" w:after="40" w:before="0"/>
        <w:jc w:val="center"/>
      </w:pPr>
      <w:r>
        <w:rPr>
          <w:rFonts w:ascii="Arial" w:hAnsi="Arial" w:cs="Arial"/>
          <w:b w:val="0"/>
          <w:i w:val="0"/>
          <w:color w:val="1F1F1F"/>
          <w:sz w:val="22"/>
        </w:rPr>
        <w:t>Empresa: Alloxentric</w:t>
      </w:r>
    </w:p>
    <w:p>
      <w:pPr>
        <w:spacing w:line="240" w:lineRule="auto" w:after="40" w:before="0"/>
        <w:jc w:val="center"/>
      </w:pPr>
      <w:r>
        <w:rPr>
          <w:rFonts w:ascii="Arial" w:hAnsi="Arial" w:cs="Arial"/>
          <w:b w:val="0"/>
          <w:i w:val="0"/>
          <w:color w:val="1F1F1F"/>
          <w:sz w:val="22"/>
        </w:rPr>
        <w:t>Sede: Antonio Varas</w:t>
      </w:r>
    </w:p>
    <w:p>
      <w:pPr>
        <w:spacing w:line="240" w:lineRule="auto" w:after="40" w:before="0"/>
        <w:jc w:val="center"/>
      </w:pPr>
      <w:r>
        <w:rPr>
          <w:rFonts w:ascii="Arial" w:hAnsi="Arial" w:cs="Arial"/>
          <w:b w:val="0"/>
          <w:i w:val="0"/>
          <w:color w:val="1F1F1F"/>
          <w:sz w:val="22"/>
        </w:rPr>
        <w:t>Fecha: 4 de septiembre de 2026</w:t>
      </w:r>
    </w:p>
    <w:p>
      <w:r>
        <w:br w:type="page"/>
      </w:r>
    </w:p>
    <w:p>
      <w:pPr>
        <w:spacing w:line="240" w:lineRule="auto" w:after="120" w:before="0"/>
      </w:pPr>
      <w:r>
        <w:rPr>
          <w:rFonts w:ascii="Arial" w:hAnsi="Arial" w:cs="Arial"/>
          <w:b/>
          <w:i w:val="0"/>
          <w:color w:val="1F1F1F"/>
          <w:sz w:val="28"/>
        </w:rPr>
        <w:t>Índice</w:t>
      </w:r>
    </w:p>
    <w:p>
      <w:pPr>
        <w:spacing w:line="240" w:lineRule="auto" w:after="80" w:before="0"/>
      </w:pPr>
      <w:r>
        <w:rPr>
          <w:rFonts w:ascii="Arial" w:hAnsi="Arial" w:cs="Arial"/>
          <w:b w:val="0"/>
          <w:i w:val="0"/>
          <w:color w:val="1F1F1F"/>
          <w:sz w:val="22"/>
        </w:rPr>
        <w:t>1. Abstract</w:t>
      </w:r>
    </w:p>
    <w:p>
      <w:pPr>
        <w:spacing w:line="240" w:lineRule="auto" w:after="80" w:before="0"/>
      </w:pPr>
      <w:r>
        <w:rPr>
          <w:rFonts w:ascii="Arial" w:hAnsi="Arial" w:cs="Arial"/>
          <w:b w:val="0"/>
          <w:i w:val="0"/>
          <w:color w:val="1F1F1F"/>
          <w:sz w:val="22"/>
        </w:rPr>
        <w:t>2. Descripción del Proyecto APT y su relevancia</w:t>
      </w:r>
    </w:p>
    <w:p>
      <w:pPr>
        <w:spacing w:line="240" w:lineRule="auto" w:after="80" w:before="0"/>
      </w:pPr>
      <w:r>
        <w:rPr>
          <w:rFonts w:ascii="Arial" w:hAnsi="Arial" w:cs="Arial"/>
          <w:b w:val="0"/>
          <w:i w:val="0"/>
          <w:color w:val="1F1F1F"/>
          <w:sz w:val="22"/>
        </w:rPr>
        <w:t>3. Relación con las competencias del perfil de egreso</w:t>
      </w:r>
    </w:p>
    <w:p>
      <w:pPr>
        <w:spacing w:line="240" w:lineRule="auto" w:after="80" w:before="0"/>
      </w:pPr>
      <w:r>
        <w:rPr>
          <w:rFonts w:ascii="Arial" w:hAnsi="Arial" w:cs="Arial"/>
          <w:b w:val="0"/>
          <w:i w:val="0"/>
          <w:color w:val="1F1F1F"/>
          <w:sz w:val="22"/>
        </w:rPr>
        <w:t>4. Relación con los intereses profesionales del equipo</w:t>
      </w:r>
    </w:p>
    <w:p>
      <w:pPr>
        <w:spacing w:line="240" w:lineRule="auto" w:after="80" w:before="0"/>
      </w:pPr>
      <w:r>
        <w:rPr>
          <w:rFonts w:ascii="Arial" w:hAnsi="Arial" w:cs="Arial"/>
          <w:b w:val="0"/>
          <w:i w:val="0"/>
          <w:color w:val="1F1F1F"/>
          <w:sz w:val="22"/>
        </w:rPr>
        <w:t>5. Factibilidad del proyecto en el marco de la asignatura</w:t>
      </w:r>
    </w:p>
    <w:p>
      <w:pPr>
        <w:spacing w:line="240" w:lineRule="auto" w:after="80" w:before="0"/>
      </w:pPr>
      <w:r>
        <w:rPr>
          <w:rFonts w:ascii="Arial" w:hAnsi="Arial" w:cs="Arial"/>
          <w:b w:val="0"/>
          <w:i w:val="0"/>
          <w:color w:val="1F1F1F"/>
          <w:sz w:val="22"/>
        </w:rPr>
        <w:t>6. Cumplimiento de los indicadores de calidad del diseño</w:t>
      </w:r>
    </w:p>
    <w:p>
      <w:pPr>
        <w:spacing w:line="240" w:lineRule="auto" w:after="80" w:before="0"/>
      </w:pPr>
      <w:r>
        <w:rPr>
          <w:rFonts w:ascii="Arial" w:hAnsi="Arial" w:cs="Arial"/>
          <w:b w:val="0"/>
          <w:i w:val="0"/>
          <w:color w:val="1F1F1F"/>
          <w:sz w:val="22"/>
        </w:rPr>
        <w:t>7. Individual conclusions</w:t>
      </w:r>
    </w:p>
    <w:p>
      <w:pPr>
        <w:spacing w:line="240" w:lineRule="auto" w:after="80" w:before="0"/>
      </w:pPr>
      <w:r>
        <w:rPr>
          <w:rFonts w:ascii="Arial" w:hAnsi="Arial" w:cs="Arial"/>
          <w:b w:val="0"/>
          <w:i w:val="0"/>
          <w:color w:val="1F1F1F"/>
          <w:sz w:val="22"/>
        </w:rPr>
        <w:t>8. Reflection</w:t>
      </w:r>
    </w:p>
    <w:p>
      <w:pPr>
        <w:spacing w:line="240" w:lineRule="auto" w:after="80" w:before="0"/>
      </w:pPr>
      <w:r>
        <w:rPr>
          <w:rFonts w:ascii="Arial" w:hAnsi="Arial" w:cs="Arial"/>
          <w:b w:val="0"/>
          <w:i w:val="0"/>
          <w:color w:val="1F1F1F"/>
          <w:sz w:val="22"/>
        </w:rPr>
        <w:t>9. Referencias</w:t>
      </w:r>
    </w:p>
    <w:p>
      <w:pPr>
        <w:spacing w:line="240" w:lineRule="auto" w:after="80" w:before="0"/>
      </w:pPr>
      <w:r>
        <w:rPr>
          <w:rFonts w:ascii="Arial" w:hAnsi="Arial" w:cs="Arial"/>
          <w:b w:val="0"/>
          <w:i w:val="0"/>
          <w:color w:val="1F1F1F"/>
          <w:sz w:val="22"/>
        </w:rPr>
        <w:t>Anexo A. Pauta de evaluación de la asignatura</w:t>
      </w:r>
    </w:p>
    <w:p>
      <w:r>
        <w:br w:type="page"/>
      </w:r>
    </w:p>
    <w:p>
      <w:pPr>
        <w:spacing w:line="240" w:lineRule="auto" w:after="120" w:before="0"/>
      </w:pPr>
      <w:r>
        <w:rPr>
          <w:rFonts w:ascii="Arial" w:hAnsi="Arial" w:cs="Arial"/>
          <w:b/>
          <w:i w:val="0"/>
          <w:color w:val="1F1F1F"/>
          <w:sz w:val="28"/>
        </w:rPr>
        <w:t>1. Abstract</w:t>
      </w:r>
    </w:p>
    <w:p>
      <w:pPr>
        <w:spacing w:line="240" w:lineRule="auto" w:after="120" w:before="0"/>
      </w:pPr>
      <w:r>
        <w:rPr>
          <w:rFonts w:ascii="Arial" w:hAnsi="Arial" w:cs="Arial"/>
          <w:b/>
          <w:i w:val="0"/>
          <w:color w:val="1F1F1F"/>
          <w:sz w:val="24"/>
        </w:rPr>
        <w:t>1.1 Resumen (español)</w:t>
      </w:r>
    </w:p>
    <w:p>
      <w:pPr>
        <w:spacing w:line="360" w:lineRule="auto" w:after="120" w:before="0"/>
        <w:jc w:val="both"/>
      </w:pPr>
      <w:r>
        <w:rPr>
          <w:rFonts w:ascii="Arial" w:hAnsi="Arial" w:cs="Arial"/>
          <w:b w:val="0"/>
          <w:i w:val="0"/>
          <w:color w:val="1F1F1F"/>
          <w:sz w:val="22"/>
        </w:rPr>
        <w:t>Este informe presenta la definición del Proyecto APT «Chatbot de Soporte Genérico Alloxentric»: una plataforma multi-tenant de soporte conversacional que permite a una empresa de software ofrecer atención automatizada a los usuarios finales de sus clientes sin construir un desarrollo a medida para cada uno. Cada empresa cliente carga su documentación, sus preguntas frecuentes y la dirección de su sitio web en un módulo de administración; con esa información la plataforma construye una base de conocimiento vectorizada y publica un chat de soporte compuesto por dos agentes especializados, uno técnico y uno comercial, que un clasificador de intención selecciona en cada consulta. Cuando el bot no resuelve, la conversación se deriva a un agente humano en vivo o queda como ticket.</w:t>
      </w:r>
    </w:p>
    <w:p>
      <w:pPr>
        <w:spacing w:line="360" w:lineRule="auto" w:after="120" w:before="0"/>
        <w:jc w:val="both"/>
      </w:pPr>
      <w:r>
        <w:rPr>
          <w:rFonts w:ascii="Arial" w:hAnsi="Arial" w:cs="Arial"/>
          <w:b w:val="0"/>
          <w:i w:val="0"/>
          <w:color w:val="1F1F1F"/>
          <w:sz w:val="22"/>
        </w:rPr>
        <w:t>El proyecto se desarrolla con Alloxentric, empresa chilena de automatización de comunicaciones, sobre cuatro clientes iniciales de naturaleza distinta que permiten comprobar que la solución es genuinamente genérica. El informe fundamenta la relevancia del problema para el campo laboral de la Ingeniería en Informática, lo relaciona con las cuatro competencias del perfil de egreso comprometidas y con los intereses profesionales de cada integrante, y argumenta la factibilidad de ejecutarlo en las dieciocho semanas de la asignatura con la capacidad real del equipo. Un hecho condiciona el plan: el 28 de agosto de 2026 la empresa entregó el sistema ya implementado, de modo que el trabajo restante deja de ser construir la plataforma y pasa a ser verificarla, cerrar sus brechas, desplegarla en producción y medir con evidencia la calidad de sus respuestas.</w:t>
      </w:r>
    </w:p>
    <w:p>
      <w:pPr>
        <w:spacing w:line="240" w:lineRule="auto" w:after="120" w:before="0"/>
      </w:pPr>
      <w:r>
        <w:rPr>
          <w:rFonts w:ascii="Arial" w:hAnsi="Arial" w:cs="Arial"/>
          <w:b/>
          <w:i w:val="0"/>
          <w:color w:val="1F1F1F"/>
          <w:sz w:val="24"/>
        </w:rPr>
        <w:t>1.2 Abstract (English)</w:t>
      </w:r>
    </w:p>
    <w:p>
      <w:pPr>
        <w:spacing w:line="360" w:lineRule="auto" w:after="120" w:before="0"/>
        <w:jc w:val="both"/>
      </w:pPr>
      <w:r>
        <w:rPr>
          <w:rFonts w:ascii="Arial" w:hAnsi="Arial" w:cs="Arial"/>
          <w:b w:val="0"/>
          <w:i w:val="0"/>
          <w:color w:val="1F1F1F"/>
          <w:sz w:val="22"/>
        </w:rPr>
        <w:t>This report presents the definition of the APT Project "Alloxentric Generic Support Chatbot": a multi-tenant conversational support platform that allows a software company to offer automated assistance to its clients' end users without building a custom development for each one. Every client company uploads its documentation, its frequently asked questions and its website address through an administration module; from that material the platform builds a vectorised knowledge base and publishes a support chat made up of two specialised agents, one technical and one commercial, which an intent classifier selects for each query. When the bot cannot solve the request, the conversation is handed over to a human agent in real time, or it becomes a ticket if nobody is available.</w:t>
      </w:r>
    </w:p>
    <w:p>
      <w:pPr>
        <w:spacing w:line="360" w:lineRule="auto" w:after="120" w:before="0"/>
        <w:jc w:val="both"/>
      </w:pPr>
      <w:r>
        <w:rPr>
          <w:rFonts w:ascii="Arial" w:hAnsi="Arial" w:cs="Arial"/>
          <w:b w:val="0"/>
          <w:i w:val="0"/>
          <w:color w:val="1F1F1F"/>
          <w:sz w:val="22"/>
        </w:rPr>
        <w:t>The project is carried out with Alloxentric, a Chilean company specialised in communication automation, using four initial clients of clearly different natures, which makes it possible to verify that the solution is genuinely generic rather than a single-case development. The report justifies why the problem matters for the professional field of Computer Engineering, relates it to the four graduate profile competencies committed to and to the professional interests of each team member, and argues that it can be completed within the eighteen weeks of the course with the team's real capacity. One fact shapes the plan: on 28 August 2026 the company delivered the system already implemented, so the remaining work is no longer to build the platform but to verify it, close its gaps, deploy it to production and measure the quality of its answers with evidence.</w:t>
      </w:r>
    </w:p>
    <w:p>
      <w:pPr>
        <w:spacing w:line="240" w:lineRule="auto" w:after="120" w:before="0"/>
      </w:pPr>
      <w:r>
        <w:rPr>
          <w:rFonts w:ascii="Arial" w:hAnsi="Arial" w:cs="Arial"/>
          <w:b/>
          <w:i w:val="0"/>
          <w:color w:val="1F1F1F"/>
          <w:sz w:val="28"/>
        </w:rPr>
        <w:t>2. Descripción del Proyecto APT y su relevancia</w:t>
      </w:r>
    </w:p>
    <w:p>
      <w:pPr>
        <w:spacing w:line="240" w:lineRule="auto" w:after="120" w:before="0"/>
      </w:pPr>
      <w:r>
        <w:rPr>
          <w:rFonts w:ascii="Arial" w:hAnsi="Arial" w:cs="Arial"/>
          <w:b/>
          <w:i w:val="0"/>
          <w:color w:val="1F1F1F"/>
          <w:sz w:val="24"/>
        </w:rPr>
        <w:t>2.1 En qué consiste el proyecto</w:t>
      </w:r>
    </w:p>
    <w:p>
      <w:pPr>
        <w:spacing w:line="360" w:lineRule="auto" w:after="120" w:before="0"/>
        <w:jc w:val="both"/>
      </w:pPr>
      <w:r>
        <w:rPr>
          <w:rFonts w:ascii="Arial" w:hAnsi="Arial" w:cs="Arial"/>
          <w:b w:val="0"/>
          <w:i w:val="0"/>
          <w:color w:val="1F1F1F"/>
          <w:sz w:val="22"/>
        </w:rPr>
        <w:t>El proyecto consiste en construir y poner en producción una plataforma multi-tenant de soporte conversacional. Cada empresa cliente carga en un módulo de administración su documentación, sus preguntas frecuentes y la URL de su sitio web. Con esa información la plataforma construye una base de conocimiento vectorizada y genera un chat de soporte, disponible por web mediante un enlace único y un widget embebible, que responde a los usuarios finales.</w:t>
      </w:r>
    </w:p>
    <w:p>
      <w:pPr>
        <w:spacing w:line="360" w:lineRule="auto" w:after="120" w:before="0"/>
        <w:jc w:val="both"/>
      </w:pPr>
      <w:r>
        <w:rPr>
          <w:rFonts w:ascii="Arial" w:hAnsi="Arial" w:cs="Arial"/>
          <w:b w:val="0"/>
          <w:i w:val="0"/>
          <w:color w:val="1F1F1F"/>
          <w:sz w:val="22"/>
        </w:rPr>
        <w:t>El chatbot de cada empresa no es un bot único: se compone de dos agentes especializados —uno de soporte técnico y uno comercial— con instrucciones, tono y fuentes propias. Un clasificador de intención decide cuál responde cada consulta. Cuando el bot no resuelve, la conversación se deriva a un agente humano del tipo correspondiente: en vivo si hay alguien disponible, o como ticket si no lo hay.</w:t>
      </w:r>
    </w:p>
    <w:p>
      <w:pPr>
        <w:spacing w:line="360" w:lineRule="auto" w:after="120" w:before="0"/>
        <w:jc w:val="both"/>
      </w:pPr>
      <w:r>
        <w:rPr>
          <w:rFonts w:ascii="Arial" w:hAnsi="Arial" w:cs="Arial"/>
          <w:b w:val="0"/>
          <w:i w:val="0"/>
          <w:color w:val="1F1F1F"/>
          <w:sz w:val="22"/>
        </w:rPr>
        <w:t>El 28 de agosto de 2026, al cierre de esta fase de definición, la empresa entregó al equipo el proyecto ya implementado. Eso cambia la naturaleza del trabajo que queda: deja de ser construir la plataforma y pasa a ser verificarla, cerrar sus brechas, desplegarla en producción con los cuatro clientes y medir con evidencia la calidad de sus respuestas. El equipo auditó el sistema recibido contra las seis fases comprometidas y levantó ocho brechas priorizadas, que son el plan de trabajo de las fases siguientes.</w:t>
      </w:r>
    </w:p>
    <w:p>
      <w:pPr>
        <w:spacing w:line="240" w:lineRule="auto" w:after="120" w:before="0"/>
      </w:pPr>
      <w:r>
        <w:rPr>
          <w:rFonts w:ascii="Arial" w:hAnsi="Arial" w:cs="Arial"/>
          <w:b/>
          <w:i w:val="0"/>
          <w:color w:val="1F1F1F"/>
          <w:sz w:val="24"/>
        </w:rPr>
        <w:t>2.2 Objetivos</w:t>
      </w:r>
    </w:p>
    <w:p>
      <w:pPr>
        <w:spacing w:line="240" w:lineRule="auto" w:after="80" w:before="0"/>
      </w:pPr>
      <w:r>
        <w:rPr>
          <w:rFonts w:ascii="Arial" w:hAnsi="Arial" w:cs="Arial"/>
          <w:b/>
          <w:i w:val="0"/>
          <w:color w:val="1F1F1F"/>
          <w:sz w:val="22"/>
        </w:rPr>
        <w:t>Objetivo general</w:t>
      </w:r>
    </w:p>
    <w:p>
      <w:pPr>
        <w:spacing w:line="360" w:lineRule="auto" w:after="120" w:before="0"/>
        <w:jc w:val="both"/>
      </w:pPr>
      <w:r>
        <w:rPr>
          <w:rFonts w:ascii="Arial" w:hAnsi="Arial" w:cs="Arial"/>
          <w:b w:val="0"/>
          <w:i w:val="0"/>
          <w:color w:val="1F1F1F"/>
          <w:sz w:val="22"/>
        </w:rPr>
        <w:t>Desarrollar, verificar y poner en producción una plataforma multi-tenant de soporte conversacional para Alloxentric, compuesta por un módulo de administración, un chat de soporte web con agentes especializados técnico y comercial basados en RAG y DeepSeek, y una consola para agentes humanos que reciben las conversaciones derivadas, de modo que cualquier empresa cliente ofrezca a sus usuarios una primera línea de atención automatizada con respaldo humano.</w:t>
      </w:r>
    </w:p>
    <w:p>
      <w:pPr>
        <w:spacing w:line="240" w:lineRule="auto" w:after="80" w:before="0"/>
      </w:pPr>
      <w:r>
        <w:rPr>
          <w:rFonts w:ascii="Arial" w:hAnsi="Arial" w:cs="Arial"/>
          <w:b/>
          <w:i w:val="0"/>
          <w:color w:val="1F1F1F"/>
          <w:sz w:val="22"/>
        </w:rPr>
        <w:t>Objetivos específicos</w:t>
      </w:r>
    </w:p>
    <w:p>
      <w:pPr>
        <w:spacing w:line="360" w:lineRule="auto" w:after="80" w:before="0"/>
        <w:jc w:val="both"/>
      </w:pPr>
      <w:r>
        <w:rPr>
          <w:rFonts w:ascii="Arial" w:hAnsi="Arial" w:cs="Arial"/>
          <w:b w:val="0"/>
          <w:i w:val="0"/>
          <w:color w:val="1F1F1F"/>
          <w:sz w:val="22"/>
        </w:rPr>
        <w:t>1. Construir un módulo de administración multi-tenant, en español, inglés y portugués y con modo claro y oscuro, donde cada empresa gestione su cuenta, documentos, preguntas frecuentes, sitio web, agentes del bot y agentes humanos.</w:t>
      </w:r>
    </w:p>
    <w:p>
      <w:pPr>
        <w:spacing w:line="360" w:lineRule="auto" w:after="80" w:before="0"/>
        <w:jc w:val="both"/>
      </w:pPr>
      <w:r>
        <w:rPr>
          <w:rFonts w:ascii="Arial" w:hAnsi="Arial" w:cs="Arial"/>
          <w:b w:val="0"/>
          <w:i w:val="0"/>
          <w:color w:val="1F1F1F"/>
          <w:sz w:val="22"/>
        </w:rPr>
        <w:t>2. Implementar un pipeline de ingesta que procese documentos, preguntas frecuentes y el contenido del sitio web, y construya una base de conocimiento vectorizada por empresa y por tipo de chat.</w:t>
      </w:r>
    </w:p>
    <w:p>
      <w:pPr>
        <w:spacing w:line="360" w:lineRule="auto" w:after="80" w:before="0"/>
        <w:jc w:val="both"/>
      </w:pPr>
      <w:r>
        <w:rPr>
          <w:rFonts w:ascii="Arial" w:hAnsi="Arial" w:cs="Arial"/>
          <w:b w:val="0"/>
          <w:i w:val="0"/>
          <w:color w:val="1F1F1F"/>
          <w:sz w:val="22"/>
        </w:rPr>
        <w:t>3. Desarrollar el motor conversacional RAG con dos agentes especializados y un clasificador de intención que dirija cada consulta al agente correcto, generando las respuestas con DeepSeek y la clave propia de cada cliente.</w:t>
      </w:r>
    </w:p>
    <w:p>
      <w:pPr>
        <w:spacing w:line="360" w:lineRule="auto" w:after="80" w:before="0"/>
        <w:jc w:val="both"/>
      </w:pPr>
      <w:r>
        <w:rPr>
          <w:rFonts w:ascii="Arial" w:hAnsi="Arial" w:cs="Arial"/>
          <w:b w:val="0"/>
          <w:i w:val="0"/>
          <w:color w:val="1F1F1F"/>
          <w:sz w:val="22"/>
        </w:rPr>
        <w:t>4. Habilitar los canales de atención: enlace único de chat por cliente, widget embebible en el sitio del cliente, sobre un único motor conversacional agnóstico al canal. El canal WhatsApp queda documentado como extensión fuera de la primera versión (ADR 0002).</w:t>
      </w:r>
    </w:p>
    <w:p>
      <w:pPr>
        <w:spacing w:line="360" w:lineRule="auto" w:after="80" w:before="0"/>
        <w:jc w:val="both"/>
      </w:pPr>
      <w:r>
        <w:rPr>
          <w:rFonts w:ascii="Arial" w:hAnsi="Arial" w:cs="Arial"/>
          <w:b w:val="0"/>
          <w:i w:val="0"/>
          <w:color w:val="1F1F1F"/>
          <w:sz w:val="22"/>
        </w:rPr>
        <w:t>5. Implementar la derivación a agentes humanos, en vivo cuando hay un agente disponible del tipo correspondiente y como ticket cuando no lo hay, con una consola de atención que incluya cola, transcripción con contexto y respuestas sugeridas por el motor RAG.</w:t>
      </w:r>
    </w:p>
    <w:p>
      <w:pPr>
        <w:spacing w:line="360" w:lineRule="auto" w:after="80" w:before="0"/>
        <w:jc w:val="both"/>
      </w:pPr>
      <w:r>
        <w:rPr>
          <w:rFonts w:ascii="Arial" w:hAnsi="Arial" w:cs="Arial"/>
          <w:b w:val="0"/>
          <w:i w:val="0"/>
          <w:color w:val="1F1F1F"/>
          <w:sz w:val="22"/>
        </w:rPr>
        <w:t>6. Verificar el aislamiento de la información entre empresas clientes mediante pruebas automatizadas que recorran todos los servicios de la interfaz de programación y bloqueen la integración si fallan.</w:t>
      </w:r>
    </w:p>
    <w:p>
      <w:pPr>
        <w:spacing w:line="360" w:lineRule="auto" w:after="80" w:before="0"/>
        <w:jc w:val="both"/>
      </w:pPr>
      <w:r>
        <w:rPr>
          <w:rFonts w:ascii="Arial" w:hAnsi="Arial" w:cs="Arial"/>
          <w:b w:val="0"/>
          <w:i w:val="0"/>
          <w:color w:val="1F1F1F"/>
          <w:sz w:val="22"/>
        </w:rPr>
        <w:t>7. Medir la calidad de las respuestas del bot con un conjunto de preguntas de prueba por cliente y por tipo de agente, con respuesta esperada, y reportar sus resultados.</w:t>
      </w:r>
    </w:p>
    <w:p>
      <w:pPr>
        <w:spacing w:line="360" w:lineRule="auto" w:after="80" w:before="0"/>
        <w:jc w:val="both"/>
      </w:pPr>
      <w:r>
        <w:rPr>
          <w:rFonts w:ascii="Arial" w:hAnsi="Arial" w:cs="Arial"/>
          <w:b w:val="0"/>
          <w:i w:val="0"/>
          <w:color w:val="1F1F1F"/>
          <w:sz w:val="22"/>
        </w:rPr>
        <w:t>8. Desplegar la plataforma en producción con los cuatro clientes iniciales configurados y entregar el dashboard de métricas por empresa y de consumo de tokens por período.</w:t>
      </w:r>
    </w:p>
    <w:p>
      <w:pPr>
        <w:spacing w:line="240" w:lineRule="auto" w:after="120" w:before="0"/>
      </w:pPr>
      <w:r>
        <w:rPr>
          <w:rFonts w:ascii="Arial" w:hAnsi="Arial" w:cs="Arial"/>
          <w:b/>
          <w:i w:val="0"/>
          <w:color w:val="1F1F1F"/>
          <w:sz w:val="24"/>
        </w:rPr>
        <w:t>2.3 Relevancia para el campo laboral de la carrera</w:t>
      </w:r>
    </w:p>
    <w:p>
      <w:pPr>
        <w:spacing w:line="360" w:lineRule="auto" w:after="120" w:before="0"/>
        <w:jc w:val="both"/>
      </w:pPr>
      <w:r>
        <w:rPr>
          <w:rFonts w:ascii="Arial" w:hAnsi="Arial" w:cs="Arial"/>
          <w:b w:val="0"/>
          <w:i w:val="0"/>
          <w:color w:val="1F1F1F"/>
          <w:sz w:val="22"/>
        </w:rPr>
        <w:t>Cualquier empresa que ofrece un producto de software necesita atender las consultas y los problemas de sus usuarios finales. Hacerlo con soporte humano dedicado por producto es caro y no escala: cada empresa tiene su propia documentación, de modo que hoy la única salida es un desarrollo a medida por cliente. Ese es el problema que aborda este proyecto.</w:t>
      </w:r>
    </w:p>
    <w:p>
      <w:pPr>
        <w:spacing w:line="360" w:lineRule="auto" w:after="120" w:before="0"/>
        <w:jc w:val="both"/>
      </w:pPr>
      <w:r>
        <w:rPr>
          <w:rFonts w:ascii="Arial" w:hAnsi="Arial" w:cs="Arial"/>
          <w:b w:val="0"/>
          <w:i w:val="0"/>
          <w:color w:val="1F1F1F"/>
          <w:sz w:val="22"/>
        </w:rPr>
        <w:t>La situación se sitúa en Alloxentric, empresa chilena especializada en automatización de comunicaciones y atención al cliente, y en las empresas que contratan sus servicios. El proyecto parte con cuatro clientes iniciales de naturaleza distinta —WellQ, Alloxentric, Directa y Dani27001—, que permiten validar que la solución es genuinamente genérica y no un desarrollo para un solo caso: una plataforma de salud en el Reino Unido con usuarios no técnicos, la propia Alloxentric, un asistente de IA para directores de empresa y un producto de cumplimiento de la norma ISO 27001 con documentación normativa y soporte en portugués.</w:t>
      </w:r>
    </w:p>
    <w:p>
      <w:pPr>
        <w:spacing w:line="360" w:lineRule="auto" w:after="120" w:before="0"/>
        <w:jc w:val="both"/>
      </w:pPr>
      <w:r>
        <w:rPr>
          <w:rFonts w:ascii="Arial" w:hAnsi="Arial" w:cs="Arial"/>
          <w:b w:val="0"/>
          <w:i w:val="0"/>
          <w:color w:val="1F1F1F"/>
          <w:sz w:val="22"/>
        </w:rPr>
        <w:t>Impacta en tres grupos: los usuarios finales, que obtienen una primera línea de atención inmediata y en su idioma; los equipos de soporte de cada empresa cliente, que dejan de responder las mismas preguntas y reciben solo lo que el bot no resuelve; y la propia Alloxentric, que pasa de un desarrollo a medida por cliente a una sola implementación reutilizable.</w:t>
      </w:r>
    </w:p>
    <w:p>
      <w:pPr>
        <w:spacing w:line="360" w:lineRule="auto" w:after="120" w:before="0"/>
        <w:jc w:val="both"/>
      </w:pPr>
      <w:r>
        <w:rPr>
          <w:rFonts w:ascii="Arial" w:hAnsi="Arial" w:cs="Arial"/>
          <w:b w:val="0"/>
          <w:i w:val="0"/>
          <w:color w:val="1F1F1F"/>
          <w:sz w:val="22"/>
        </w:rPr>
        <w:t>Para el campo laboral de la Ingeniería en Informática el tema es relevante porque combina tres asuntos que hoy son cotidianos en la industria: arquitecturas multi-tenant con aislamiento de datos entre clientes, integración de modelos de lenguaje sobre información propia de una organización mediante RAG, y la puesta en producción de todo eso con criterios verificables de calidad y seguridad.</w:t>
      </w:r>
    </w:p>
    <w:p>
      <w:pPr>
        <w:spacing w:line="240" w:lineRule="auto" w:after="120" w:before="0"/>
      </w:pPr>
      <w:r>
        <w:rPr>
          <w:rFonts w:ascii="Arial" w:hAnsi="Arial" w:cs="Arial"/>
          <w:b/>
          <w:i w:val="0"/>
          <w:color w:val="1F1F1F"/>
          <w:sz w:val="28"/>
        </w:rPr>
        <w:t>3. Relación con las competencias del perfil de egreso</w:t>
      </w:r>
    </w:p>
    <w:p>
      <w:pPr>
        <w:spacing w:line="360" w:lineRule="auto" w:after="120" w:before="0"/>
        <w:jc w:val="both"/>
      </w:pPr>
      <w:r>
        <w:rPr>
          <w:rFonts w:ascii="Arial" w:hAnsi="Arial" w:cs="Arial"/>
          <w:b w:val="0"/>
          <w:i w:val="0"/>
          <w:color w:val="1F1F1F"/>
          <w:sz w:val="22"/>
        </w:rPr>
        <w:t>El perfil de egreso de Ingeniería en Informática apunta a profesionales capaces de desarrollar soluciones de software, modelar datos, gestionar proyectos informáticos y certificar la calidad de lo que entregan. Este proyecto exige las cuatro cosas a la vez y ninguna de manera superficial.</w:t>
      </w:r>
    </w:p>
    <w:p>
      <w:pPr>
        <w:spacing w:line="360" w:lineRule="auto" w:after="120" w:before="0"/>
        <w:jc w:val="both"/>
      </w:pPr>
      <w:r>
        <w:rPr>
          <w:rFonts w:ascii="Arial" w:hAnsi="Arial" w:cs="Arial"/>
          <w:b w:val="0"/>
          <w:i w:val="0"/>
          <w:color w:val="1F1F1F"/>
          <w:sz w:val="22"/>
        </w:rPr>
        <w:t>El desarrollo de la solución se pone en juego en una aplicación real con backend, frontend, integración de servicios externos y despliegue en contenedores. El modelo de datos es el corazón del problema: la plataforma es multi-tenant, de modo que el diseño debe garantizar que ninguna empresa acceda a información de otra, e incorpora además almacenamiento e indexación vectorial para la búsqueda semántica. La gestión del proyecto se ejerció de forma exigente al tener que replanificar por completo cuando la base cambió a mitad de la fase, documentando las decisiones abiertas en registros de decisión de arquitectura en vez de resolverlas unilateralmente.</w:t>
      </w:r>
    </w:p>
    <w:p>
      <w:pPr>
        <w:spacing w:line="360" w:lineRule="auto" w:after="120" w:before="0"/>
        <w:jc w:val="both"/>
      </w:pPr>
      <w:r>
        <w:rPr>
          <w:rFonts w:ascii="Arial" w:hAnsi="Arial" w:cs="Arial"/>
          <w:b w:val="0"/>
          <w:i w:val="0"/>
          <w:color w:val="1F1F1F"/>
          <w:sz w:val="22"/>
        </w:rPr>
        <w:t>Las pruebas de certificación son la competencia que el proyecto vuelve ineludible: el aislamiento de datos entre empresas o se cumple o no se cumple, y la única manera de afirmarlo es con pruebas automatizadas que lo verifiquen. Lo mismo ocurre con la calidad de las respuestas del bot, que sin un conjunto de preguntas de prueba con respuesta esperada no puede sostenerse con evidencia sino con impresiones.</w:t>
      </w:r>
    </w:p>
    <w:p>
      <w:pPr>
        <w:spacing w:line="240" w:lineRule="auto" w:after="120" w:before="0"/>
      </w:pPr>
      <w:r>
        <w:rPr>
          <w:rFonts w:ascii="Arial" w:hAnsi="Arial" w:cs="Arial"/>
          <w:b/>
          <w:i w:val="0"/>
          <w:color w:val="1F1F1F"/>
          <w:sz w:val="28"/>
        </w:rPr>
        <w:t>4. Relación con los intereses profesionales del equipo</w:t>
      </w:r>
    </w:p>
    <w:p>
      <w:pPr>
        <w:spacing w:line="360" w:lineRule="auto" w:after="120" w:before="0"/>
        <w:jc w:val="both"/>
      </w:pPr>
      <w:r>
        <w:rPr>
          <w:rFonts w:ascii="Arial" w:hAnsi="Arial" w:cs="Arial"/>
          <w:b w:val="0"/>
          <w:i w:val="0"/>
          <w:color w:val="1F1F1F"/>
          <w:sz w:val="22"/>
        </w:rPr>
        <w:t>Cada integrante expone a continuación cómo el proyecto se conecta con los intereses profesionales que orientan su formación.</w:t>
      </w:r>
    </w:p>
    <w:p>
      <w:pPr>
        <w:spacing w:line="240" w:lineRule="auto" w:after="120" w:before="0"/>
      </w:pPr>
      <w:r>
        <w:rPr>
          <w:rFonts w:ascii="Arial" w:hAnsi="Arial" w:cs="Arial"/>
          <w:b/>
          <w:i w:val="0"/>
          <w:color w:val="1F1F1F"/>
          <w:sz w:val="24"/>
        </w:rPr>
        <w:t>4.1 Exequiel Alvarado</w:t>
      </w:r>
    </w:p>
    <w:p>
      <w:pPr>
        <w:spacing w:line="360" w:lineRule="auto" w:after="120" w:before="0"/>
        <w:jc w:val="both"/>
      </w:pPr>
      <w:r>
        <w:rPr>
          <w:rFonts w:ascii="Arial" w:hAnsi="Arial" w:cs="Arial"/>
          <w:b w:val="0"/>
          <w:i w:val="0"/>
          <w:color w:val="1F1F1F"/>
          <w:sz w:val="22"/>
        </w:rPr>
        <w:t>Mis intereses profesionales están en el desarrollo backend, en las arquitecturas multi-tenant y en las aplicaciones que ponen un modelo de lenguaje a trabajar sobre los datos propios de una organización. Me interesa el trabajo de infraestructura y de datos más que el de interfaz y, dentro de él, el diseño de sistemas donde la corrección no es negociable. Este proyecto refleja esos intereses de manera directa: el aislamiento entre empresas clientes es un requisito de seguridad verificable y no una preferencia de diseño; la búsqueda semántica sobre los documentos de cada cliente es lo técnicamente más nuevo para mí y lo que más quiero desarrollar; y la integración con un proveedor de modelo de lenguaje tras una capa de abstracción es exactamente el tipo de decisión de arquitectura que quiero aprender a tomar y a justificar. Al terminar tendré un sistema desplegado en producción, con clientes reales, medición de calidad y trazabilidad de las decisiones: un caso que puedo explicar y defender técnicamente, no un ejercicio académico cerrado.</w:t>
      </w:r>
    </w:p>
    <w:p>
      <w:pPr>
        <w:spacing w:line="240" w:lineRule="auto" w:after="120" w:before="0"/>
      </w:pPr>
      <w:r>
        <w:rPr>
          <w:rFonts w:ascii="Arial" w:hAnsi="Arial" w:cs="Arial"/>
          <w:b/>
          <w:i w:val="0"/>
          <w:color w:val="1F1F1F"/>
          <w:sz w:val="24"/>
        </w:rPr>
        <w:t>4.2 Diana Guerrero</w:t>
      </w:r>
    </w:p>
    <w:p>
      <w:pPr>
        <w:spacing w:line="360" w:lineRule="auto" w:after="120" w:before="0"/>
        <w:jc w:val="both"/>
      </w:pPr>
      <w:r>
        <w:rPr>
          <w:rFonts w:ascii="Arial" w:hAnsi="Arial" w:cs="Arial"/>
          <w:b w:val="0"/>
          <w:i w:val="0"/>
          <w:color w:val="1F1F1F"/>
          <w:sz w:val="22"/>
        </w:rPr>
        <w:t>Mi interés profesional está en la gestión de proyectos informáticos y en el rol de product owner: traducir lo que una empresa necesita a un backlog que un equipo pueda ejecutar, y sostener ese backlog cuando la realidad lo cambia. Este proyecto lo exige de forma poco habitual en un trabajo académico, porque la base cambió a mitad de la fase de definición y hubo que replanificar sobre un sistema ya construido en vez de sobre un plan en blanco. Coordinar a cuatro personas con un solo desarrollador me obliga a priorizar de verdad, a negociar el alcance con la contraparte de la empresa y a mantener el tablero de Jira como una herramienta de decisión y no como un registro de tareas. Es la clase de experiencia que busco para orientar mi carrera hacia la coordinación de equipos de desarrollo.</w:t>
      </w:r>
    </w:p>
    <w:p>
      <w:pPr>
        <w:spacing w:line="240" w:lineRule="auto" w:after="120" w:before="0"/>
      </w:pPr>
      <w:r>
        <w:rPr>
          <w:rFonts w:ascii="Arial" w:hAnsi="Arial" w:cs="Arial"/>
          <w:b/>
          <w:i w:val="0"/>
          <w:color w:val="1F1F1F"/>
          <w:sz w:val="24"/>
        </w:rPr>
        <w:t>4.3 Cristian Jorquera</w:t>
      </w:r>
    </w:p>
    <w:p>
      <w:pPr>
        <w:spacing w:line="360" w:lineRule="auto" w:after="120" w:before="0"/>
        <w:jc w:val="both"/>
      </w:pPr>
      <w:r>
        <w:rPr>
          <w:rFonts w:ascii="Arial" w:hAnsi="Arial" w:cs="Arial"/>
          <w:b w:val="0"/>
          <w:i w:val="0"/>
          <w:color w:val="1F1F1F"/>
          <w:sz w:val="22"/>
        </w:rPr>
        <w:t>Me interesa el aseguramiento de la calidad del software: las pruebas automatizadas, los criterios de aceptación escritos antes de programar y la evidencia que permite afirmar que un sistema funciona sin depender de la impresión de quien lo probó. Este proyecto convierte ese interés en una necesidad concreta y medible: el aislamiento de datos entre empresas clientes o se cumple o no se cumple, y la única forma de sostenerlo es con una batería de pruebas que recorra todos los servicios de la interfaz de programación. Lo mismo ocurre con la calidad de las respuestas del bot, que sin un conjunto de preguntas de prueba con respuesta esperada no puede evaluarse con seriedad. Redactar las historias de usuario con sus criterios de aceptación y construir después las pruebas que los verifican es exactamente el trabajo que quiero hacer profesionalmente.</w:t>
      </w:r>
    </w:p>
    <w:p>
      <w:pPr>
        <w:spacing w:line="240" w:lineRule="auto" w:after="120" w:before="0"/>
      </w:pPr>
      <w:r>
        <w:rPr>
          <w:rFonts w:ascii="Arial" w:hAnsi="Arial" w:cs="Arial"/>
          <w:b/>
          <w:i w:val="0"/>
          <w:color w:val="1F1F1F"/>
          <w:sz w:val="24"/>
        </w:rPr>
        <w:t>4.4 Manuel Jansen</w:t>
      </w:r>
    </w:p>
    <w:p>
      <w:pPr>
        <w:spacing w:line="360" w:lineRule="auto" w:after="120" w:before="0"/>
        <w:jc w:val="both"/>
      </w:pPr>
      <w:r>
        <w:rPr>
          <w:rFonts w:ascii="Arial" w:hAnsi="Arial" w:cs="Arial"/>
          <w:b w:val="0"/>
          <w:i w:val="0"/>
          <w:color w:val="1F1F1F"/>
          <w:sz w:val="22"/>
        </w:rPr>
        <w:t>Mi interés profesional está en el diseño de interfaces y en la experiencia de uso: que una herramienta se entienda sin manual y que quien la usa sepa en todo momento qué está pasando. Este proyecto tiene tres interfaces con públicos muy distintos —el módulo de administración que usa la empresa cliente, el chat que usa el usuario final y la consola del agente humano que atiende las derivaciones—, y cada una exige decisiones de diseño propias. Además debe funcionar en español, inglés y portugués y con modo claro y oscuro, lo que obliga a trabajar con un sistema de componentes y de tokens de diseño y no con pantallas sueltas. Es la oportunidad de aplicar el diseño de interfaz sobre un producto real, con usuarios que no son técnicos, y de aprender a defender una decisión de diseño con argumentos y no con gusto personal.</w:t>
      </w:r>
    </w:p>
    <w:p>
      <w:pPr>
        <w:spacing w:line="240" w:lineRule="auto" w:after="120" w:before="0"/>
      </w:pPr>
      <w:r>
        <w:rPr>
          <w:rFonts w:ascii="Arial" w:hAnsi="Arial" w:cs="Arial"/>
          <w:b/>
          <w:i w:val="0"/>
          <w:color w:val="1F1F1F"/>
          <w:sz w:val="28"/>
        </w:rPr>
        <w:t>5. Factibilidad del proyecto en el marco de la asignatura</w:t>
      </w:r>
    </w:p>
    <w:p>
      <w:pPr>
        <w:spacing w:line="240" w:lineRule="auto" w:after="120" w:before="0"/>
      </w:pPr>
      <w:r>
        <w:rPr>
          <w:rFonts w:ascii="Arial" w:hAnsi="Arial" w:cs="Arial"/>
          <w:b/>
          <w:i w:val="0"/>
          <w:color w:val="1F1F1F"/>
          <w:sz w:val="24"/>
        </w:rPr>
        <w:t>5.1 Tiempo, recursos y factores externos</w:t>
      </w:r>
    </w:p>
    <w:p>
      <w:pPr>
        <w:spacing w:line="360" w:lineRule="auto" w:after="120" w:before="0"/>
        <w:jc w:val="both"/>
      </w:pPr>
      <w:r>
        <w:rPr>
          <w:rFonts w:ascii="Arial" w:hAnsi="Arial" w:cs="Arial"/>
          <w:b w:val="0"/>
          <w:i w:val="0"/>
          <w:color w:val="1F1F1F"/>
          <w:sz w:val="22"/>
        </w:rPr>
        <w:t>El proyecto es factible en el semestre por tres razones.</w:t>
      </w:r>
    </w:p>
    <w:p>
      <w:pPr>
        <w:spacing w:line="360" w:lineRule="auto" w:after="120" w:before="0"/>
        <w:jc w:val="both"/>
      </w:pPr>
      <w:r>
        <w:rPr>
          <w:rFonts w:ascii="Arial" w:hAnsi="Arial" w:cs="Arial"/>
          <w:b w:val="0"/>
          <w:i w:val="0"/>
          <w:color w:val="1F1F1F"/>
          <w:sz w:val="22"/>
        </w:rPr>
        <w:t>Primero, el alcance está dimensionado sobre la capacidad real del equipo. Somos cuatro integrantes, pero solo uno programa, así que durante la definición se recortó el alcance a un producto mínimo defendible y se dejó documentado como roadmap lo que no cabía. Esa restricción se alivió el 28 de agosto, cuando la empresa entregó el sistema implementado: el esfuerzo restante se concentra en verificación, despliegue y medición, que es trabajo acotado y verificable.</w:t>
      </w:r>
    </w:p>
    <w:p>
      <w:pPr>
        <w:spacing w:line="360" w:lineRule="auto" w:after="120" w:before="0"/>
        <w:jc w:val="both"/>
      </w:pPr>
      <w:r>
        <w:rPr>
          <w:rFonts w:ascii="Arial" w:hAnsi="Arial" w:cs="Arial"/>
          <w:b w:val="0"/>
          <w:i w:val="0"/>
          <w:color w:val="1F1F1F"/>
          <w:sz w:val="22"/>
        </w:rPr>
        <w:t>Segundo, los recursos requeridos son accesibles: un repositorio con integración continua, contenedores para levantar el entorno, una base de datos PostgreSQL con la extensión de búsqueda vectorial, y las cuentas de los servicios externos. La plataforma de despliegue y el proveedor de embeddings están registrados como decisión abierta porque tienen costo asociado y deben resolverse con la empresa.</w:t>
      </w:r>
    </w:p>
    <w:p>
      <w:pPr>
        <w:spacing w:line="360" w:lineRule="auto" w:after="120" w:before="0"/>
        <w:jc w:val="both"/>
      </w:pPr>
      <w:r>
        <w:rPr>
          <w:rFonts w:ascii="Arial" w:hAnsi="Arial" w:cs="Arial"/>
          <w:b w:val="0"/>
          <w:i w:val="0"/>
          <w:color w:val="1F1F1F"/>
          <w:sz w:val="22"/>
        </w:rPr>
        <w:t>Tercero, el período académico de 18 semanas se ajusta al plan por fases: cuatro semanas de definición, once de desarrollo y verificación, y tres de cierre y presentación.</w:t>
      </w:r>
    </w:p>
    <w:p>
      <w:pPr>
        <w:spacing w:line="360" w:lineRule="auto" w:after="120" w:before="0"/>
        <w:jc w:val="both"/>
      </w:pPr>
      <w:r>
        <w:rPr>
          <w:rFonts w:ascii="Arial" w:hAnsi="Arial" w:cs="Arial"/>
          <w:b w:val="0"/>
          <w:i w:val="0"/>
          <w:color w:val="1F1F1F"/>
          <w:sz w:val="22"/>
        </w:rPr>
        <w:t>Factores externos que facilitan el desarrollo: la empresa entregó el sistema construido y la documentación funcional completa; los cuatro clientes iniciales están definidos; el entorno se levanta sin contratar servicios, porque cada integración externa tiene un modo de desarrollo local.</w:t>
      </w:r>
    </w:p>
    <w:p>
      <w:pPr>
        <w:spacing w:line="360" w:lineRule="auto" w:after="120" w:before="0"/>
        <w:jc w:val="both"/>
      </w:pPr>
      <w:r>
        <w:rPr>
          <w:rFonts w:ascii="Arial" w:hAnsi="Arial" w:cs="Arial"/>
          <w:b w:val="0"/>
          <w:i w:val="0"/>
          <w:color w:val="1F1F1F"/>
          <w:sz w:val="22"/>
        </w:rPr>
        <w:t>Factores externos que lo dificultan y su mitigación: la habilitación de una cuenta de WhatsApp Business ante Meta exige verificación, número dedicado y aprobación de plantillas: un trámite de semanas que resuelve un tercero. Por eso el canal se dejó fuera de la primera versión y la plataforma se define y se defiende por chat web, que no depende de esa aprobación; la disponibilidad de la contraparte de la empresa para cerrar las historias de usuario puede retrasarse, por lo que se avanza primero en lo que no cambia con esa reunión; y el uso real de los modelos tiene costo, por lo que el consumo se controla con límites por empresa y medición por período.</w:t>
      </w:r>
    </w:p>
    <w:p>
      <w:pPr>
        <w:spacing w:line="240" w:lineRule="auto" w:after="120" w:before="0"/>
      </w:pPr>
      <w:r>
        <w:rPr>
          <w:rFonts w:ascii="Arial" w:hAnsi="Arial" w:cs="Arial"/>
          <w:b/>
          <w:i w:val="0"/>
          <w:color w:val="1F1F1F"/>
          <w:sz w:val="24"/>
        </w:rPr>
        <w:t>5.2 Carta Gantt</w:t>
      </w:r>
    </w:p>
    <w:p>
      <w:pPr>
        <w:spacing w:line="360" w:lineRule="auto" w:after="120" w:before="0"/>
        <w:jc w:val="both"/>
      </w:pPr>
      <w:r>
        <w:rPr>
          <w:rFonts w:ascii="Arial" w:hAnsi="Arial" w:cs="Arial"/>
          <w:b w:val="0"/>
          <w:i w:val="0"/>
          <w:color w:val="1F1F1F"/>
          <w:sz w:val="22"/>
        </w:rPr>
        <w:t>El período académico de 18 semanas se reparte en tres fases. La tabla recoge las actividades comprometidas y la semana en que se ejecuta cada una; las cuatro entregas evaluadas aparecen en negrita.</w:t>
      </w:r>
    </w:p>
    <w:tbl>
      <w:tblPr>
        <w:tblStyle w:val="Tablaconcuadrcula"/>
        <w:tblW w:type="auto" w:w="0"/>
        <w:tblLook w:firstColumn="1" w:firstRow="1" w:lastColumn="0" w:lastRow="0" w:noHBand="0" w:noVBand="1" w:val="04A0"/>
      </w:tblPr>
      <w:tblGrid>
        <w:gridCol w:w="4335"/>
        <w:gridCol w:w="4335"/>
        <w:gridCol w:w="4335"/>
      </w:tblGrid>
      <w:tr>
        <w:tc>
          <w:tcPr>
            <w:tcW w:type="dxa" w:w="4335"/>
          </w:tcPr>
          <w:p>
            <w:pPr>
              <w:spacing w:after="40"/>
            </w:pPr>
            <w:r>
              <w:rPr>
                <w:rFonts w:ascii="Arial" w:hAnsi="Arial"/>
                <w:b/>
                <w:sz w:val="20"/>
              </w:rPr>
              <w:t>Actividad</w:t>
            </w:r>
          </w:p>
        </w:tc>
        <w:tc>
          <w:tcPr>
            <w:tcW w:type="dxa" w:w="4335"/>
          </w:tcPr>
          <w:p>
            <w:pPr>
              <w:spacing w:after="40"/>
            </w:pPr>
            <w:r>
              <w:rPr>
                <w:rFonts w:ascii="Arial" w:hAnsi="Arial"/>
                <w:b/>
                <w:sz w:val="20"/>
              </w:rPr>
              <w:t>Semanas</w:t>
            </w:r>
          </w:p>
        </w:tc>
        <w:tc>
          <w:tcPr>
            <w:tcW w:type="dxa" w:w="4335"/>
          </w:tcPr>
          <w:p>
            <w:pPr>
              <w:spacing w:after="40"/>
            </w:pPr>
            <w:r>
              <w:rPr>
                <w:rFonts w:ascii="Arial" w:hAnsi="Arial"/>
                <w:b/>
                <w:sz w:val="20"/>
              </w:rPr>
              <w:t>Fase</w:t>
            </w:r>
          </w:p>
        </w:tc>
      </w:tr>
      <w:tr>
        <w:tc>
          <w:tcPr>
            <w:tcW w:type="dxa" w:w="4335"/>
          </w:tcPr>
          <w:p>
            <w:pPr>
              <w:spacing w:after="40"/>
            </w:pPr>
            <w:r>
              <w:rPr>
                <w:rFonts w:ascii="Arial" w:hAnsi="Arial"/>
                <w:b w:val="0"/>
                <w:sz w:val="20"/>
              </w:rPr>
              <w:t>Conformación de grupo</w:t>
            </w:r>
          </w:p>
        </w:tc>
        <w:tc>
          <w:tcPr>
            <w:tcW w:type="dxa" w:w="4335"/>
          </w:tcPr>
          <w:p>
            <w:pPr>
              <w:spacing w:after="40"/>
            </w:pPr>
            <w:r>
              <w:rPr>
                <w:rFonts w:ascii="Arial" w:hAnsi="Arial"/>
                <w:b w:val="0"/>
                <w:sz w:val="20"/>
              </w:rPr>
              <w:t>S1</w:t>
            </w:r>
          </w:p>
        </w:tc>
        <w:tc>
          <w:tcPr>
            <w:tcW w:type="dxa" w:w="4335"/>
          </w:tcPr>
          <w:p>
            <w:pPr>
              <w:spacing w:after="40"/>
            </w:pPr>
            <w:r>
              <w:rPr>
                <w:rFonts w:ascii="Arial" w:hAnsi="Arial"/>
                <w:b w:val="0"/>
                <w:sz w:val="20"/>
              </w:rPr>
              <w:t>1 · Planificación</w:t>
            </w:r>
          </w:p>
        </w:tc>
      </w:tr>
      <w:tr>
        <w:tc>
          <w:tcPr>
            <w:tcW w:type="dxa" w:w="4335"/>
          </w:tcPr>
          <w:p>
            <w:pPr>
              <w:spacing w:after="40"/>
            </w:pPr>
            <w:r>
              <w:rPr>
                <w:rFonts w:ascii="Arial" w:hAnsi="Arial"/>
                <w:b w:val="0"/>
                <w:sz w:val="20"/>
              </w:rPr>
              <w:t>Generación de documentos compartidos, Git y Jira</w:t>
            </w:r>
          </w:p>
        </w:tc>
        <w:tc>
          <w:tcPr>
            <w:tcW w:type="dxa" w:w="4335"/>
          </w:tcPr>
          <w:p>
            <w:pPr>
              <w:spacing w:after="40"/>
            </w:pPr>
            <w:r>
              <w:rPr>
                <w:rFonts w:ascii="Arial" w:hAnsi="Arial"/>
                <w:b w:val="0"/>
                <w:sz w:val="20"/>
              </w:rPr>
              <w:t>S2</w:t>
            </w:r>
          </w:p>
        </w:tc>
        <w:tc>
          <w:tcPr>
            <w:tcW w:type="dxa" w:w="4335"/>
          </w:tcPr>
          <w:p>
            <w:pPr>
              <w:spacing w:after="40"/>
            </w:pPr>
            <w:r>
              <w:rPr>
                <w:rFonts w:ascii="Arial" w:hAnsi="Arial"/>
                <w:b w:val="0"/>
                <w:sz w:val="20"/>
              </w:rPr>
              <w:t>1 · Planificación</w:t>
            </w:r>
          </w:p>
        </w:tc>
      </w:tr>
      <w:tr>
        <w:tc>
          <w:tcPr>
            <w:tcW w:type="dxa" w:w="4335"/>
          </w:tcPr>
          <w:p>
            <w:pPr>
              <w:spacing w:after="40"/>
            </w:pPr>
            <w:r>
              <w:rPr>
                <w:rFonts w:ascii="Arial" w:hAnsi="Arial"/>
                <w:b w:val="0"/>
                <w:sz w:val="20"/>
              </w:rPr>
              <w:t>Reunión con Alloxentric</w:t>
            </w:r>
          </w:p>
        </w:tc>
        <w:tc>
          <w:tcPr>
            <w:tcW w:type="dxa" w:w="4335"/>
          </w:tcPr>
          <w:p>
            <w:pPr>
              <w:spacing w:after="40"/>
            </w:pPr>
            <w:r>
              <w:rPr>
                <w:rFonts w:ascii="Arial" w:hAnsi="Arial"/>
                <w:b w:val="0"/>
                <w:sz w:val="20"/>
              </w:rPr>
              <w:t>S3</w:t>
            </w:r>
          </w:p>
        </w:tc>
        <w:tc>
          <w:tcPr>
            <w:tcW w:type="dxa" w:w="4335"/>
          </w:tcPr>
          <w:p>
            <w:pPr>
              <w:spacing w:after="40"/>
            </w:pPr>
            <w:r>
              <w:rPr>
                <w:rFonts w:ascii="Arial" w:hAnsi="Arial"/>
                <w:b w:val="0"/>
                <w:sz w:val="20"/>
              </w:rPr>
              <w:t>1 · Planificación</w:t>
            </w:r>
          </w:p>
        </w:tc>
      </w:tr>
      <w:tr>
        <w:tc>
          <w:tcPr>
            <w:tcW w:type="dxa" w:w="4335"/>
          </w:tcPr>
          <w:p>
            <w:pPr>
              <w:spacing w:after="40"/>
            </w:pPr>
            <w:r>
              <w:rPr>
                <w:rFonts w:ascii="Arial" w:hAnsi="Arial"/>
                <w:b/>
                <w:sz w:val="20"/>
              </w:rPr>
              <w:t>Presentación de planificación</w:t>
            </w:r>
          </w:p>
        </w:tc>
        <w:tc>
          <w:tcPr>
            <w:tcW w:type="dxa" w:w="4335"/>
          </w:tcPr>
          <w:p>
            <w:pPr>
              <w:spacing w:after="40"/>
            </w:pPr>
            <w:r>
              <w:rPr>
                <w:rFonts w:ascii="Arial" w:hAnsi="Arial"/>
                <w:b/>
                <w:sz w:val="20"/>
              </w:rPr>
              <w:t>S4</w:t>
            </w:r>
          </w:p>
        </w:tc>
        <w:tc>
          <w:tcPr>
            <w:tcW w:type="dxa" w:w="4335"/>
          </w:tcPr>
          <w:p>
            <w:pPr>
              <w:spacing w:after="40"/>
            </w:pPr>
            <w:r>
              <w:rPr>
                <w:rFonts w:ascii="Arial" w:hAnsi="Arial"/>
                <w:b/>
                <w:sz w:val="20"/>
              </w:rPr>
              <w:t>1 · Planificación</w:t>
            </w:r>
          </w:p>
        </w:tc>
      </w:tr>
      <w:tr>
        <w:tc>
          <w:tcPr>
            <w:tcW w:type="dxa" w:w="4335"/>
          </w:tcPr>
          <w:p>
            <w:pPr>
              <w:spacing w:after="40"/>
            </w:pPr>
            <w:r>
              <w:rPr>
                <w:rFonts w:ascii="Arial" w:hAnsi="Arial"/>
                <w:b w:val="0"/>
                <w:sz w:val="20"/>
              </w:rPr>
              <w:t>Desarrollo funcionalidad multi-tenant</w:t>
            </w:r>
          </w:p>
        </w:tc>
        <w:tc>
          <w:tcPr>
            <w:tcW w:type="dxa" w:w="4335"/>
          </w:tcPr>
          <w:p>
            <w:pPr>
              <w:spacing w:after="40"/>
            </w:pPr>
            <w:r>
              <w:rPr>
                <w:rFonts w:ascii="Arial" w:hAnsi="Arial"/>
                <w:b w:val="0"/>
                <w:sz w:val="20"/>
              </w:rPr>
              <w:t>S5–S6</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Desarrollo base de conocimiento</w:t>
            </w:r>
          </w:p>
        </w:tc>
        <w:tc>
          <w:tcPr>
            <w:tcW w:type="dxa" w:w="4335"/>
          </w:tcPr>
          <w:p>
            <w:pPr>
              <w:spacing w:after="40"/>
            </w:pPr>
            <w:r>
              <w:rPr>
                <w:rFonts w:ascii="Arial" w:hAnsi="Arial"/>
                <w:b w:val="0"/>
                <w:sz w:val="20"/>
              </w:rPr>
              <w:t>S7</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Incorporación base de datos</w:t>
            </w:r>
          </w:p>
        </w:tc>
        <w:tc>
          <w:tcPr>
            <w:tcW w:type="dxa" w:w="4335"/>
          </w:tcPr>
          <w:p>
            <w:pPr>
              <w:spacing w:after="40"/>
            </w:pPr>
            <w:r>
              <w:rPr>
                <w:rFonts w:ascii="Arial" w:hAnsi="Arial"/>
                <w:b w:val="0"/>
                <w:sz w:val="20"/>
              </w:rPr>
              <w:t>S8</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Integración con frontend</w:t>
            </w:r>
          </w:p>
        </w:tc>
        <w:tc>
          <w:tcPr>
            <w:tcW w:type="dxa" w:w="4335"/>
          </w:tcPr>
          <w:p>
            <w:pPr>
              <w:spacing w:after="40"/>
            </w:pPr>
            <w:r>
              <w:rPr>
                <w:rFonts w:ascii="Arial" w:hAnsi="Arial"/>
                <w:b w:val="0"/>
                <w:sz w:val="20"/>
              </w:rPr>
              <w:t>S9</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Integración con backend</w:t>
            </w:r>
          </w:p>
        </w:tc>
        <w:tc>
          <w:tcPr>
            <w:tcW w:type="dxa" w:w="4335"/>
          </w:tcPr>
          <w:p>
            <w:pPr>
              <w:spacing w:after="40"/>
            </w:pPr>
            <w:r>
              <w:rPr>
                <w:rFonts w:ascii="Arial" w:hAnsi="Arial"/>
                <w:b w:val="0"/>
                <w:sz w:val="20"/>
              </w:rPr>
              <w:t>S10</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sz w:val="20"/>
              </w:rPr>
              <w:t>Primera entrega de avance</w:t>
            </w:r>
          </w:p>
        </w:tc>
        <w:tc>
          <w:tcPr>
            <w:tcW w:type="dxa" w:w="4335"/>
          </w:tcPr>
          <w:p>
            <w:pPr>
              <w:spacing w:after="40"/>
            </w:pPr>
            <w:r>
              <w:rPr>
                <w:rFonts w:ascii="Arial" w:hAnsi="Arial"/>
                <w:b/>
                <w:sz w:val="20"/>
              </w:rPr>
              <w:t>S11</w:t>
            </w:r>
          </w:p>
        </w:tc>
        <w:tc>
          <w:tcPr>
            <w:tcW w:type="dxa" w:w="4335"/>
          </w:tcPr>
          <w:p>
            <w:pPr>
              <w:spacing w:after="40"/>
            </w:pPr>
            <w:r>
              <w:rPr>
                <w:rFonts w:ascii="Arial" w:hAnsi="Arial"/>
                <w:b/>
                <w:sz w:val="20"/>
              </w:rPr>
              <w:t>2 · Desarrollo</w:t>
            </w:r>
          </w:p>
        </w:tc>
      </w:tr>
      <w:tr>
        <w:tc>
          <w:tcPr>
            <w:tcW w:type="dxa" w:w="4335"/>
          </w:tcPr>
          <w:p>
            <w:pPr>
              <w:spacing w:after="40"/>
            </w:pPr>
            <w:r>
              <w:rPr>
                <w:rFonts w:ascii="Arial" w:hAnsi="Arial"/>
                <w:b w:val="0"/>
                <w:sz w:val="20"/>
              </w:rPr>
              <w:t>Ajustes de primera entrega</w:t>
            </w:r>
          </w:p>
        </w:tc>
        <w:tc>
          <w:tcPr>
            <w:tcW w:type="dxa" w:w="4335"/>
          </w:tcPr>
          <w:p>
            <w:pPr>
              <w:spacing w:after="40"/>
            </w:pPr>
            <w:r>
              <w:rPr>
                <w:rFonts w:ascii="Arial" w:hAnsi="Arial"/>
                <w:b w:val="0"/>
                <w:sz w:val="20"/>
              </w:rPr>
              <w:t>S12</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Integración con DeepSeek</w:t>
            </w:r>
          </w:p>
        </w:tc>
        <w:tc>
          <w:tcPr>
            <w:tcW w:type="dxa" w:w="4335"/>
          </w:tcPr>
          <w:p>
            <w:pPr>
              <w:spacing w:after="40"/>
            </w:pPr>
            <w:r>
              <w:rPr>
                <w:rFonts w:ascii="Arial" w:hAnsi="Arial"/>
                <w:b w:val="0"/>
                <w:sz w:val="20"/>
              </w:rPr>
              <w:t>S13</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val="0"/>
                <w:sz w:val="20"/>
              </w:rPr>
              <w:t>Ajustes finales</w:t>
            </w:r>
          </w:p>
        </w:tc>
        <w:tc>
          <w:tcPr>
            <w:tcW w:type="dxa" w:w="4335"/>
          </w:tcPr>
          <w:p>
            <w:pPr>
              <w:spacing w:after="40"/>
            </w:pPr>
            <w:r>
              <w:rPr>
                <w:rFonts w:ascii="Arial" w:hAnsi="Arial"/>
                <w:b w:val="0"/>
                <w:sz w:val="20"/>
              </w:rPr>
              <w:t>S14</w:t>
            </w:r>
          </w:p>
        </w:tc>
        <w:tc>
          <w:tcPr>
            <w:tcW w:type="dxa" w:w="4335"/>
          </w:tcPr>
          <w:p>
            <w:pPr>
              <w:spacing w:after="40"/>
            </w:pPr>
            <w:r>
              <w:rPr>
                <w:rFonts w:ascii="Arial" w:hAnsi="Arial"/>
                <w:b w:val="0"/>
                <w:sz w:val="20"/>
              </w:rPr>
              <w:t>2 · Desarrollo</w:t>
            </w:r>
          </w:p>
        </w:tc>
      </w:tr>
      <w:tr>
        <w:tc>
          <w:tcPr>
            <w:tcW w:type="dxa" w:w="4335"/>
          </w:tcPr>
          <w:p>
            <w:pPr>
              <w:spacing w:after="40"/>
            </w:pPr>
            <w:r>
              <w:rPr>
                <w:rFonts w:ascii="Arial" w:hAnsi="Arial"/>
                <w:b/>
                <w:sz w:val="20"/>
              </w:rPr>
              <w:t>Segunda entrega de avance</w:t>
            </w:r>
          </w:p>
        </w:tc>
        <w:tc>
          <w:tcPr>
            <w:tcW w:type="dxa" w:w="4335"/>
          </w:tcPr>
          <w:p>
            <w:pPr>
              <w:spacing w:after="40"/>
            </w:pPr>
            <w:r>
              <w:rPr>
                <w:rFonts w:ascii="Arial" w:hAnsi="Arial"/>
                <w:b/>
                <w:sz w:val="20"/>
              </w:rPr>
              <w:t>S15</w:t>
            </w:r>
          </w:p>
        </w:tc>
        <w:tc>
          <w:tcPr>
            <w:tcW w:type="dxa" w:w="4335"/>
          </w:tcPr>
          <w:p>
            <w:pPr>
              <w:spacing w:after="40"/>
            </w:pPr>
            <w:r>
              <w:rPr>
                <w:rFonts w:ascii="Arial" w:hAnsi="Arial"/>
                <w:b/>
                <w:sz w:val="20"/>
              </w:rPr>
              <w:t>2 · Desarrollo</w:t>
            </w:r>
          </w:p>
        </w:tc>
      </w:tr>
      <w:tr>
        <w:tc>
          <w:tcPr>
            <w:tcW w:type="dxa" w:w="4335"/>
          </w:tcPr>
          <w:p>
            <w:pPr>
              <w:spacing w:after="40"/>
            </w:pPr>
            <w:r>
              <w:rPr>
                <w:rFonts w:ascii="Arial" w:hAnsi="Arial"/>
                <w:b w:val="0"/>
                <w:sz w:val="20"/>
              </w:rPr>
              <w:t>Ajustes segunda presentación</w:t>
            </w:r>
          </w:p>
        </w:tc>
        <w:tc>
          <w:tcPr>
            <w:tcW w:type="dxa" w:w="4335"/>
          </w:tcPr>
          <w:p>
            <w:pPr>
              <w:spacing w:after="40"/>
            </w:pPr>
            <w:r>
              <w:rPr>
                <w:rFonts w:ascii="Arial" w:hAnsi="Arial"/>
                <w:b w:val="0"/>
                <w:sz w:val="20"/>
              </w:rPr>
              <w:t>S16</w:t>
            </w:r>
          </w:p>
        </w:tc>
        <w:tc>
          <w:tcPr>
            <w:tcW w:type="dxa" w:w="4335"/>
          </w:tcPr>
          <w:p>
            <w:pPr>
              <w:spacing w:after="40"/>
            </w:pPr>
            <w:r>
              <w:rPr>
                <w:rFonts w:ascii="Arial" w:hAnsi="Arial"/>
                <w:b w:val="0"/>
                <w:sz w:val="20"/>
              </w:rPr>
              <w:t>3 · Presentación</w:t>
            </w:r>
          </w:p>
        </w:tc>
      </w:tr>
      <w:tr>
        <w:tc>
          <w:tcPr>
            <w:tcW w:type="dxa" w:w="4335"/>
          </w:tcPr>
          <w:p>
            <w:pPr>
              <w:spacing w:after="40"/>
            </w:pPr>
            <w:r>
              <w:rPr>
                <w:rFonts w:ascii="Arial" w:hAnsi="Arial"/>
                <w:b/>
                <w:sz w:val="20"/>
              </w:rPr>
              <w:t>Presentación Final</w:t>
            </w:r>
          </w:p>
        </w:tc>
        <w:tc>
          <w:tcPr>
            <w:tcW w:type="dxa" w:w="4335"/>
          </w:tcPr>
          <w:p>
            <w:pPr>
              <w:spacing w:after="40"/>
            </w:pPr>
            <w:r>
              <w:rPr>
                <w:rFonts w:ascii="Arial" w:hAnsi="Arial"/>
                <w:b/>
                <w:sz w:val="20"/>
              </w:rPr>
              <w:t>S17–S18</w:t>
            </w:r>
          </w:p>
        </w:tc>
        <w:tc>
          <w:tcPr>
            <w:tcW w:type="dxa" w:w="4335"/>
          </w:tcPr>
          <w:p>
            <w:pPr>
              <w:spacing w:after="40"/>
            </w:pPr>
            <w:r>
              <w:rPr>
                <w:rFonts w:ascii="Arial" w:hAnsi="Arial"/>
                <w:b/>
                <w:sz w:val="20"/>
              </w:rPr>
              <w:t>3 · Presentación</w:t>
            </w:r>
          </w:p>
        </w:tc>
      </w:tr>
    </w:tbl>
    <w:p>
      <w:pPr>
        <w:spacing w:line="360" w:lineRule="auto" w:after="200" w:before="0"/>
      </w:pPr>
    </w:p>
    <w:p>
      <w:pPr>
        <w:spacing w:line="240" w:lineRule="auto" w:after="120" w:before="0"/>
      </w:pPr>
      <w:r>
        <w:rPr>
          <w:rFonts w:ascii="Arial" w:hAnsi="Arial" w:cs="Arial"/>
          <w:b/>
          <w:i w:val="0"/>
          <w:color w:val="1F1F1F"/>
          <w:sz w:val="24"/>
        </w:rPr>
        <w:t>5.3 Metodología de trabajo</w:t>
      </w:r>
    </w:p>
    <w:p>
      <w:pPr>
        <w:spacing w:line="360" w:lineRule="auto" w:after="120" w:before="0"/>
        <w:jc w:val="both"/>
      </w:pPr>
      <w:r>
        <w:rPr>
          <w:rFonts w:ascii="Arial" w:hAnsi="Arial" w:cs="Arial"/>
          <w:b w:val="0"/>
          <w:i w:val="0"/>
          <w:color w:val="1F1F1F"/>
          <w:sz w:val="22"/>
        </w:rPr>
        <w:t>El proyecto se aborda con una metodología ágil basada en Scrum, adaptada a un equipo de cuatro integrantes en el que una sola persona programa. El trabajo se organiza en iteraciones de dos semanas, cada una cerrando con una demostración funcional del sistema.</w:t>
      </w:r>
    </w:p>
    <w:p>
      <w:pPr>
        <w:spacing w:line="360" w:lineRule="auto" w:after="120" w:before="0"/>
        <w:jc w:val="both"/>
      </w:pPr>
      <w:r>
        <w:rPr>
          <w:rFonts w:ascii="Arial" w:hAnsi="Arial" w:cs="Arial"/>
          <w:b w:val="0"/>
          <w:i w:val="0"/>
          <w:color w:val="1F1F1F"/>
          <w:sz w:val="22"/>
        </w:rPr>
        <w:t>Ceremonias. Planificación de 45 minutos al inicio de cada iteración; reunión diaria asíncrona por escrito con el formato hice / haré / bloqueado, que evita bloquear la agenda de un equipo que trabaja en horarios distintos; revisión de 30 minutos con demostración real del sistema al cierre; y retrospectiva de 20 minutos. La estimación se hace en puntos de historia solo para el trabajo de desarrollo, y en horas para el resto.</w:t>
      </w:r>
    </w:p>
    <w:p>
      <w:pPr>
        <w:spacing w:line="360" w:lineRule="auto" w:after="120" w:before="0"/>
        <w:jc w:val="both"/>
      </w:pPr>
      <w:r>
        <w:rPr>
          <w:rFonts w:ascii="Arial" w:hAnsi="Arial" w:cs="Arial"/>
          <w:b w:val="0"/>
          <w:i w:val="0"/>
          <w:color w:val="1F1F1F"/>
          <w:sz w:val="22"/>
        </w:rPr>
        <w:t>Construcción por fases. El desarrollo sigue la Carta Gantt acordada por el equipo, en tres fases sobre 18 semanas: planificación (semanas 1 a 4), desarrollo del proyecto (semanas 5 a 15) y presentación final (semanas 16 a 18). Dentro del desarrollo, cada actividad entrega una parte funcional y verificable —multi-tenancy, base de conocimiento, base de datos, frontend, backend e integración con el modelo de lenguaje— y las entregas evaluadas actúan como puntos de control: primera entrega de avance en la semana 11, segunda entrega de avance en la 15 y presentación final en las semanas 17 y 18.</w:t>
      </w:r>
    </w:p>
    <w:p>
      <w:pPr>
        <w:spacing w:line="360" w:lineRule="auto" w:after="120" w:before="0"/>
        <w:jc w:val="both"/>
      </w:pPr>
      <w:r>
        <w:rPr>
          <w:rFonts w:ascii="Arial" w:hAnsi="Arial" w:cs="Arial"/>
          <w:b w:val="0"/>
          <w:i w:val="0"/>
          <w:color w:val="1F1F1F"/>
          <w:sz w:val="22"/>
        </w:rPr>
        <w:t>Prácticas de ingeniería. Todo cambio entra a la rama principal mediante solicitud de incorporación con revisión e integración continua en verde. Las decisiones de arquitectura se registran como documentos de decisión cortos y versionados. El esquema de la base de datos se modifica siempre mediante migraciones versionadas. Una definición de terminado explícita cierra cada tarea: revisión aprobada, migración si corresponde, pruebas de aislamiento en verde, desplegado y documentado.</w:t>
      </w:r>
    </w:p>
    <w:p>
      <w:pPr>
        <w:spacing w:line="360" w:lineRule="auto" w:after="120" w:before="0"/>
        <w:jc w:val="both"/>
      </w:pPr>
      <w:r>
        <w:rPr>
          <w:rFonts w:ascii="Arial" w:hAnsi="Arial" w:cs="Arial"/>
          <w:b w:val="0"/>
          <w:i w:val="0"/>
          <w:color w:val="1F1F1F"/>
          <w:sz w:val="22"/>
        </w:rPr>
        <w:t>Aseguramiento de la calidad. La calidad de las respuestas del bot se evalúa de forma continua con un conjunto de preguntas de prueba por cliente y por tipo de agente, construido a partir de sus preguntas frecuentes reales, lo que permite medir objetivamente la mejora del sistema a lo largo del desarrollo en vez de sostenerla con impresiones.</w:t>
      </w:r>
    </w:p>
    <w:p>
      <w:pPr>
        <w:spacing w:line="360" w:lineRule="auto" w:after="120" w:before="0"/>
        <w:jc w:val="both"/>
      </w:pPr>
      <w:r>
        <w:rPr>
          <w:rFonts w:ascii="Arial" w:hAnsi="Arial" w:cs="Arial"/>
          <w:b w:val="0"/>
          <w:i w:val="0"/>
          <w:color w:val="1F1F1F"/>
          <w:sz w:val="22"/>
        </w:rPr>
        <w:t>Funciones y responsabilidades del equipo:</w:t>
      </w:r>
    </w:p>
    <w:p>
      <w:pPr>
        <w:spacing w:line="360" w:lineRule="auto" w:after="120" w:before="0"/>
        <w:jc w:val="both"/>
      </w:pPr>
      <w:r>
        <w:rPr>
          <w:rFonts w:ascii="Arial" w:hAnsi="Arial" w:cs="Arial"/>
          <w:b w:val="0"/>
          <w:i w:val="0"/>
          <w:color w:val="1F1F1F"/>
          <w:sz w:val="22"/>
        </w:rPr>
        <w:t>· Exequiel Alvarado — Desarrollo (backend, frontend, infraestructura)</w:t>
      </w:r>
    </w:p>
    <w:p>
      <w:pPr>
        <w:spacing w:line="360" w:lineRule="auto" w:after="120" w:before="0"/>
        <w:jc w:val="both"/>
      </w:pPr>
      <w:r>
        <w:rPr>
          <w:rFonts w:ascii="Arial" w:hAnsi="Arial" w:cs="Arial"/>
          <w:b w:val="0"/>
          <w:i w:val="0"/>
          <w:color w:val="1F1F1F"/>
          <w:sz w:val="22"/>
        </w:rPr>
        <w:t>· Diana Guerrero — Coordinación / Product Owner, planificación Jira</w:t>
      </w:r>
    </w:p>
    <w:p>
      <w:pPr>
        <w:spacing w:line="360" w:lineRule="auto" w:after="120" w:before="0"/>
        <w:jc w:val="both"/>
      </w:pPr>
      <w:r>
        <w:rPr>
          <w:rFonts w:ascii="Arial" w:hAnsi="Arial" w:cs="Arial"/>
          <w:b w:val="0"/>
          <w:i w:val="0"/>
          <w:color w:val="1F1F1F"/>
          <w:sz w:val="22"/>
        </w:rPr>
        <w:t>· Manuel Jansen — Diseño de interfaz y mockups</w:t>
      </w:r>
    </w:p>
    <w:p>
      <w:pPr>
        <w:spacing w:line="360" w:lineRule="auto" w:after="120" w:before="0"/>
        <w:jc w:val="both"/>
      </w:pPr>
      <w:r>
        <w:rPr>
          <w:rFonts w:ascii="Arial" w:hAnsi="Arial" w:cs="Arial"/>
          <w:b w:val="0"/>
          <w:i w:val="0"/>
          <w:color w:val="1F1F1F"/>
          <w:sz w:val="22"/>
        </w:rPr>
        <w:t>· Cristian Jorquera — Aseguramiento de calidad, historias de usuario</w:t>
      </w:r>
    </w:p>
    <w:p>
      <w:pPr>
        <w:spacing w:line="240" w:lineRule="auto" w:after="120" w:before="0"/>
      </w:pPr>
      <w:r>
        <w:rPr>
          <w:rFonts w:ascii="Arial" w:hAnsi="Arial" w:cs="Arial"/>
          <w:b/>
          <w:i w:val="0"/>
          <w:color w:val="1F1F1F"/>
          <w:sz w:val="28"/>
        </w:rPr>
        <w:t>6. Cumplimiento de los indicadores de calidad del diseño</w:t>
      </w:r>
    </w:p>
    <w:p>
      <w:pPr>
        <w:spacing w:line="360" w:lineRule="auto" w:after="120" w:before="0"/>
        <w:jc w:val="both"/>
      </w:pPr>
      <w:r>
        <w:rPr>
          <w:rFonts w:ascii="Arial" w:hAnsi="Arial" w:cs="Arial"/>
          <w:b w:val="0"/>
          <w:i w:val="0"/>
          <w:color w:val="1F1F1F"/>
          <w:sz w:val="22"/>
        </w:rPr>
        <w:t>La pauta evalúa si el diseño del proyecto cumple los indicadores de calidad propios de las competencias del perfil de egreso comprometidas. La tabla recorre los diez indicadores y señala, para cada uno, la evidencia concreta del proyecto que lo sustenta.</w:t>
      </w:r>
    </w:p>
    <w:tbl>
      <w:tblPr>
        <w:tblStyle w:val="Tablaconcuadrcula"/>
        <w:tblW w:type="auto" w:w="0"/>
        <w:tblLook w:firstColumn="1" w:firstRow="1" w:lastColumn="0" w:lastRow="0" w:noHBand="0" w:noVBand="1" w:val="04A0"/>
      </w:tblPr>
      <w:tblGrid>
        <w:gridCol w:w="4335"/>
        <w:gridCol w:w="4335"/>
        <w:gridCol w:w="4335"/>
      </w:tblGrid>
      <w:tr>
        <w:tc>
          <w:tcPr>
            <w:tcW w:type="dxa" w:w="4335"/>
          </w:tcPr>
          <w:p>
            <w:pPr>
              <w:spacing w:after="40"/>
            </w:pPr>
            <w:r>
              <w:rPr>
                <w:rFonts w:ascii="Arial" w:hAnsi="Arial"/>
                <w:b/>
                <w:sz w:val="20"/>
              </w:rPr>
              <w:t>N.º</w:t>
            </w:r>
          </w:p>
        </w:tc>
        <w:tc>
          <w:tcPr>
            <w:tcW w:type="dxa" w:w="4335"/>
          </w:tcPr>
          <w:p>
            <w:pPr>
              <w:spacing w:after="40"/>
            </w:pPr>
            <w:r>
              <w:rPr>
                <w:rFonts w:ascii="Arial" w:hAnsi="Arial"/>
                <w:b/>
                <w:sz w:val="20"/>
              </w:rPr>
              <w:t>Indicador de calidad</w:t>
            </w:r>
          </w:p>
        </w:tc>
        <w:tc>
          <w:tcPr>
            <w:tcW w:type="dxa" w:w="4335"/>
          </w:tcPr>
          <w:p>
            <w:pPr>
              <w:spacing w:after="40"/>
            </w:pPr>
            <w:r>
              <w:rPr>
                <w:rFonts w:ascii="Arial" w:hAnsi="Arial"/>
                <w:b/>
                <w:sz w:val="20"/>
              </w:rPr>
              <w:t>Evidencia en el proyecto</w:t>
            </w:r>
          </w:p>
        </w:tc>
      </w:tr>
      <w:tr>
        <w:tc>
          <w:tcPr>
            <w:tcW w:type="dxa" w:w="4335"/>
          </w:tcPr>
          <w:p>
            <w:pPr>
              <w:spacing w:after="40"/>
            </w:pPr>
            <w:r>
              <w:rPr>
                <w:rFonts w:ascii="Arial" w:hAnsi="Arial"/>
                <w:sz w:val="18"/>
              </w:rPr>
              <w:t>1.1</w:t>
            </w:r>
          </w:p>
        </w:tc>
        <w:tc>
          <w:tcPr>
            <w:tcW w:type="dxa" w:w="4335"/>
          </w:tcPr>
          <w:p>
            <w:pPr>
              <w:spacing w:after="40"/>
            </w:pPr>
            <w:r>
              <w:rPr>
                <w:rFonts w:ascii="Arial" w:hAnsi="Arial"/>
                <w:sz w:val="18"/>
              </w:rPr>
              <w:t>Diseña pruebas de validación de productos y procesos usando buenas prácticas de la industria.</w:t>
            </w:r>
          </w:p>
        </w:tc>
        <w:tc>
          <w:tcPr>
            <w:tcW w:type="dxa" w:w="4335"/>
          </w:tcPr>
          <w:p>
            <w:pPr>
              <w:spacing w:after="40"/>
            </w:pPr>
            <w:r>
              <w:rPr>
                <w:rFonts w:ascii="Arial" w:hAnsi="Arial"/>
                <w:sz w:val="18"/>
              </w:rPr>
              <w:t>Plan de pruebas con dos baterías diseñadas: aislamiento entre empresas sobre todos los servicios de la interfaz de programación, y conjunto de preguntas de prueba por cliente y por tipo de agente, cada una con su respuesta esperada. Las historias de usuario llevan criterios de aceptación escritos antes de programar.</w:t>
            </w:r>
          </w:p>
        </w:tc>
      </w:tr>
      <w:tr>
        <w:tc>
          <w:tcPr>
            <w:tcW w:type="dxa" w:w="4335"/>
          </w:tcPr>
          <w:p>
            <w:pPr>
              <w:spacing w:after="40"/>
            </w:pPr>
            <w:r>
              <w:rPr>
                <w:rFonts w:ascii="Arial" w:hAnsi="Arial"/>
                <w:sz w:val="18"/>
              </w:rPr>
              <w:t>1.2</w:t>
            </w:r>
          </w:p>
        </w:tc>
        <w:tc>
          <w:tcPr>
            <w:tcW w:type="dxa" w:w="4335"/>
          </w:tcPr>
          <w:p>
            <w:pPr>
              <w:spacing w:after="40"/>
            </w:pPr>
            <w:r>
              <w:rPr>
                <w:rFonts w:ascii="Arial" w:hAnsi="Arial"/>
                <w:sz w:val="18"/>
              </w:rPr>
              <w:t>Aplica pruebas de validación de productos y procesos usando buenas prácticas de la industria.</w:t>
            </w:r>
          </w:p>
        </w:tc>
        <w:tc>
          <w:tcPr>
            <w:tcW w:type="dxa" w:w="4335"/>
          </w:tcPr>
          <w:p>
            <w:pPr>
              <w:spacing w:after="40"/>
            </w:pPr>
            <w:r>
              <w:rPr>
                <w:rFonts w:ascii="Arial" w:hAnsi="Arial"/>
                <w:sz w:val="18"/>
              </w:rPr>
              <w:t>Suite ejecutada sobre el sistema recibido —16 pruebas, todas en verde— y auditada para determinar qué cubre realmente. Pipeline de integración continua configurado con ruff y pytest, que bloquea la incorporación de cambios si falla.</w:t>
            </w:r>
          </w:p>
        </w:tc>
      </w:tr>
      <w:tr>
        <w:tc>
          <w:tcPr>
            <w:tcW w:type="dxa" w:w="4335"/>
          </w:tcPr>
          <w:p>
            <w:pPr>
              <w:spacing w:after="40"/>
            </w:pPr>
            <w:r>
              <w:rPr>
                <w:rFonts w:ascii="Arial" w:hAnsi="Arial"/>
                <w:sz w:val="18"/>
              </w:rPr>
              <w:t>1.3</w:t>
            </w:r>
          </w:p>
        </w:tc>
        <w:tc>
          <w:tcPr>
            <w:tcW w:type="dxa" w:w="4335"/>
          </w:tcPr>
          <w:p>
            <w:pPr>
              <w:spacing w:after="40"/>
            </w:pPr>
            <w:r>
              <w:rPr>
                <w:rFonts w:ascii="Arial" w:hAnsi="Arial"/>
                <w:sz w:val="18"/>
              </w:rPr>
              <w:t>Desarrolla mejoras al producto en base al resultado de las pruebas.</w:t>
            </w:r>
          </w:p>
        </w:tc>
        <w:tc>
          <w:tcPr>
            <w:tcW w:type="dxa" w:w="4335"/>
          </w:tcPr>
          <w:p>
            <w:pPr>
              <w:spacing w:after="40"/>
            </w:pPr>
            <w:r>
              <w:rPr>
                <w:rFonts w:ascii="Arial" w:hAnsi="Arial"/>
                <w:sz w:val="18"/>
              </w:rPr>
              <w:t>La auditoría produjo ocho brechas priorizadas por criticidad, que constituyen el plan de trabajo de la Fase 2. Del linter salieron 193 avisos: 145 eran falsos positivos del patrón de inyección de dependencias de FastAPI y los 48 reales se corrigieron.</w:t>
            </w:r>
          </w:p>
        </w:tc>
      </w:tr>
      <w:tr>
        <w:tc>
          <w:tcPr>
            <w:tcW w:type="dxa" w:w="4335"/>
          </w:tcPr>
          <w:p>
            <w:pPr>
              <w:spacing w:after="40"/>
            </w:pPr>
            <w:r>
              <w:rPr>
                <w:rFonts w:ascii="Arial" w:hAnsi="Arial"/>
                <w:sz w:val="18"/>
              </w:rPr>
              <w:t>2.1</w:t>
            </w:r>
          </w:p>
        </w:tc>
        <w:tc>
          <w:tcPr>
            <w:tcW w:type="dxa" w:w="4335"/>
          </w:tcPr>
          <w:p>
            <w:pPr>
              <w:spacing w:after="40"/>
            </w:pPr>
            <w:r>
              <w:rPr>
                <w:rFonts w:ascii="Arial" w:hAnsi="Arial"/>
                <w:sz w:val="18"/>
              </w:rPr>
              <w:t>Planifica proyectos informáticos ofreciendo alternativas para la toma de decisiones.</w:t>
            </w:r>
          </w:p>
        </w:tc>
        <w:tc>
          <w:tcPr>
            <w:tcW w:type="dxa" w:w="4335"/>
          </w:tcPr>
          <w:p>
            <w:pPr>
              <w:spacing w:after="40"/>
            </w:pPr>
            <w:r>
              <w:rPr>
                <w:rFonts w:ascii="Arial" w:hAnsi="Arial"/>
                <w:sz w:val="18"/>
              </w:rPr>
              <w:t>Carta Gantt de 18 semanas en tres fases con 16 actividades y cuatro hitos evaluados, plan de trabajo con recursos, responsables y facilitadores u obstaculizadores por actividad, y backlog en Jira. Las decisiones con costo asociado se presentan como alternativas en registros de decisión de arquitectura, no resueltas de forma unilateral.</w:t>
            </w:r>
          </w:p>
        </w:tc>
      </w:tr>
      <w:tr>
        <w:tc>
          <w:tcPr>
            <w:tcW w:type="dxa" w:w="4335"/>
          </w:tcPr>
          <w:p>
            <w:pPr>
              <w:spacing w:after="40"/>
            </w:pPr>
            <w:r>
              <w:rPr>
                <w:rFonts w:ascii="Arial" w:hAnsi="Arial"/>
                <w:sz w:val="18"/>
              </w:rPr>
              <w:t>2.2</w:t>
            </w:r>
          </w:p>
        </w:tc>
        <w:tc>
          <w:tcPr>
            <w:tcW w:type="dxa" w:w="4335"/>
          </w:tcPr>
          <w:p>
            <w:pPr>
              <w:spacing w:after="40"/>
            </w:pPr>
            <w:r>
              <w:rPr>
                <w:rFonts w:ascii="Arial" w:hAnsi="Arial"/>
                <w:sz w:val="18"/>
              </w:rPr>
              <w:t>Controla proyectos informáticos ofreciendo alternativas para la toma de decisiones.</w:t>
            </w:r>
          </w:p>
        </w:tc>
        <w:tc>
          <w:tcPr>
            <w:tcW w:type="dxa" w:w="4335"/>
          </w:tcPr>
          <w:p>
            <w:pPr>
              <w:spacing w:after="40"/>
            </w:pPr>
            <w:r>
              <w:rPr>
                <w:rFonts w:ascii="Arial" w:hAnsi="Arial"/>
                <w:sz w:val="18"/>
              </w:rPr>
              <w:t>Bitácora del proyecto versionada en el repositorio, tablero Jira con el backlog, integración continua como control de calidad de cada incorporación, y replanificación completa documentada tras el cambio de base del 28 de agosto de 2026.</w:t>
            </w:r>
          </w:p>
        </w:tc>
      </w:tr>
      <w:tr>
        <w:tc>
          <w:tcPr>
            <w:tcW w:type="dxa" w:w="4335"/>
          </w:tcPr>
          <w:p>
            <w:pPr>
              <w:spacing w:after="40"/>
            </w:pPr>
            <w:r>
              <w:rPr>
                <w:rFonts w:ascii="Arial" w:hAnsi="Arial"/>
                <w:sz w:val="18"/>
              </w:rPr>
              <w:t>3.1</w:t>
            </w:r>
          </w:p>
        </w:tc>
        <w:tc>
          <w:tcPr>
            <w:tcW w:type="dxa" w:w="4335"/>
          </w:tcPr>
          <w:p>
            <w:pPr>
              <w:spacing w:after="40"/>
            </w:pPr>
            <w:r>
              <w:rPr>
                <w:rFonts w:ascii="Arial" w:hAnsi="Arial"/>
                <w:sz w:val="18"/>
              </w:rPr>
              <w:t>Diseña modelos de datos escalables para soportar los requerimientos de la organización.</w:t>
            </w:r>
          </w:p>
        </w:tc>
        <w:tc>
          <w:tcPr>
            <w:tcW w:type="dxa" w:w="4335"/>
          </w:tcPr>
          <w:p>
            <w:pPr>
              <w:spacing w:after="40"/>
            </w:pPr>
            <w:r>
              <w:rPr>
                <w:rFonts w:ascii="Arial" w:hAnsi="Arial"/>
                <w:sz w:val="18"/>
              </w:rPr>
              <w:t>Modelo de datos multi-tenant con identificador de empresa en toda tabla de negocio y almacenamiento vectorial para la búsqueda semántica. El contraste entre el diseño propio —con seguridad a nivel de fila— y el recibido —con filtrado en la capa de aplicación— está escrito como registro de decisión de arquitectura con sus consecuencias.</w:t>
            </w:r>
          </w:p>
        </w:tc>
      </w:tr>
      <w:tr>
        <w:tc>
          <w:tcPr>
            <w:tcW w:type="dxa" w:w="4335"/>
          </w:tcPr>
          <w:p>
            <w:pPr>
              <w:spacing w:after="40"/>
            </w:pPr>
            <w:r>
              <w:rPr>
                <w:rFonts w:ascii="Arial" w:hAnsi="Arial"/>
                <w:sz w:val="18"/>
              </w:rPr>
              <w:t>3.2</w:t>
            </w:r>
          </w:p>
        </w:tc>
        <w:tc>
          <w:tcPr>
            <w:tcW w:type="dxa" w:w="4335"/>
          </w:tcPr>
          <w:p>
            <w:pPr>
              <w:spacing w:after="40"/>
            </w:pPr>
            <w:r>
              <w:rPr>
                <w:rFonts w:ascii="Arial" w:hAnsi="Arial"/>
                <w:sz w:val="18"/>
              </w:rPr>
              <w:t>Implementa modelos de datos escalables para soportar los requerimientos de la organización.</w:t>
            </w:r>
          </w:p>
        </w:tc>
        <w:tc>
          <w:tcPr>
            <w:tcW w:type="dxa" w:w="4335"/>
          </w:tcPr>
          <w:p>
            <w:pPr>
              <w:spacing w:after="40"/>
            </w:pPr>
            <w:r>
              <w:rPr>
                <w:rFonts w:ascii="Arial" w:hAnsi="Arial"/>
                <w:sz w:val="18"/>
              </w:rPr>
              <w:t>Esquema implementado sobre PostgreSQL 16 con la extensión pgvector, 16 tablas con identificador de empresa, y migraciones versionadas con Alembic: el esquema nunca se modifica a mano.</w:t>
            </w:r>
          </w:p>
        </w:tc>
      </w:tr>
      <w:tr>
        <w:tc>
          <w:tcPr>
            <w:tcW w:type="dxa" w:w="4335"/>
          </w:tcPr>
          <w:p>
            <w:pPr>
              <w:spacing w:after="40"/>
            </w:pPr>
            <w:r>
              <w:rPr>
                <w:rFonts w:ascii="Arial" w:hAnsi="Arial"/>
                <w:sz w:val="18"/>
              </w:rPr>
              <w:t>4.1</w:t>
            </w:r>
          </w:p>
        </w:tc>
        <w:tc>
          <w:tcPr>
            <w:tcW w:type="dxa" w:w="4335"/>
          </w:tcPr>
          <w:p>
            <w:pPr>
              <w:spacing w:after="40"/>
            </w:pPr>
            <w:r>
              <w:rPr>
                <w:rFonts w:ascii="Arial" w:hAnsi="Arial"/>
                <w:sz w:val="18"/>
              </w:rPr>
              <w:t>Construye una solución de software con técnicas que sistematizan el desarrollo y el mantenimiento.</w:t>
            </w:r>
          </w:p>
        </w:tc>
        <w:tc>
          <w:tcPr>
            <w:tcW w:type="dxa" w:w="4335"/>
          </w:tcPr>
          <w:p>
            <w:pPr>
              <w:spacing w:after="40"/>
            </w:pPr>
            <w:r>
              <w:rPr>
                <w:rFonts w:ascii="Arial" w:hAnsi="Arial"/>
                <w:sz w:val="18"/>
              </w:rPr>
              <w:t>Backend en Python con FastAPI y frontend en React con Vite, entorno reproducible en contenedores, revisión por solicitud de incorporación con integración continua en verde como condición, y definición de terminado explícita para cerrar cada tarea.</w:t>
            </w:r>
          </w:p>
        </w:tc>
      </w:tr>
      <w:tr>
        <w:tc>
          <w:tcPr>
            <w:tcW w:type="dxa" w:w="4335"/>
          </w:tcPr>
          <w:p>
            <w:pPr>
              <w:spacing w:after="40"/>
            </w:pPr>
            <w:r>
              <w:rPr>
                <w:rFonts w:ascii="Arial" w:hAnsi="Arial"/>
                <w:sz w:val="18"/>
              </w:rPr>
              <w:t>4.2</w:t>
            </w:r>
          </w:p>
        </w:tc>
        <w:tc>
          <w:tcPr>
            <w:tcW w:type="dxa" w:w="4335"/>
          </w:tcPr>
          <w:p>
            <w:pPr>
              <w:spacing w:after="40"/>
            </w:pPr>
            <w:r>
              <w:rPr>
                <w:rFonts w:ascii="Arial" w:hAnsi="Arial"/>
                <w:sz w:val="18"/>
              </w:rPr>
              <w:t>Integra los distintos componentes de una solución de software.</w:t>
            </w:r>
          </w:p>
        </w:tc>
        <w:tc>
          <w:tcPr>
            <w:tcW w:type="dxa" w:w="4335"/>
          </w:tcPr>
          <w:p>
            <w:pPr>
              <w:spacing w:after="40"/>
            </w:pPr>
            <w:r>
              <w:rPr>
                <w:rFonts w:ascii="Arial" w:hAnsi="Arial"/>
                <w:sz w:val="18"/>
              </w:rPr>
              <w:t>Integración del proveedor de embeddings, de la interfaz de programación de DeepSeek tras una capa de abstracción, de colas asíncronas para el trabajo en segundo plano y del canal de chat web mediante enlace único y widget embebible.</w:t>
            </w:r>
          </w:p>
        </w:tc>
      </w:tr>
      <w:tr>
        <w:tc>
          <w:tcPr>
            <w:tcW w:type="dxa" w:w="4335"/>
          </w:tcPr>
          <w:p>
            <w:pPr>
              <w:spacing w:after="40"/>
            </w:pPr>
            <w:r>
              <w:rPr>
                <w:rFonts w:ascii="Arial" w:hAnsi="Arial"/>
                <w:sz w:val="18"/>
              </w:rPr>
              <w:t>4.3</w:t>
            </w:r>
          </w:p>
        </w:tc>
        <w:tc>
          <w:tcPr>
            <w:tcW w:type="dxa" w:w="4335"/>
          </w:tcPr>
          <w:p>
            <w:pPr>
              <w:spacing w:after="40"/>
            </w:pPr>
            <w:r>
              <w:rPr>
                <w:rFonts w:ascii="Arial" w:hAnsi="Arial"/>
                <w:sz w:val="18"/>
              </w:rPr>
              <w:t>Implanta una solución de software asegurando el logro de los objetivos.</w:t>
            </w:r>
          </w:p>
        </w:tc>
        <w:tc>
          <w:tcPr>
            <w:tcW w:type="dxa" w:w="4335"/>
          </w:tcPr>
          <w:p>
            <w:pPr>
              <w:spacing w:after="40"/>
            </w:pPr>
            <w:r>
              <w:rPr>
                <w:rFonts w:ascii="Arial" w:hAnsi="Arial"/>
                <w:sz w:val="18"/>
              </w:rPr>
              <w:t>Despliegue en producción con los cuatro clientes configurados, frontend en Vercel, respaldo automatizado, endurecimiento de la seguridad y dashboards de métricas y consumo. La plataforma para la interfaz de programación está registrada como decisión abierta porque condiciona si el chat en vivo opera en tiempo real o por consulta periódica.</w:t>
            </w:r>
          </w:p>
        </w:tc>
      </w:tr>
    </w:tbl>
    <w:p>
      <w:pPr>
        <w:spacing w:line="360" w:lineRule="auto" w:after="200" w:before="0"/>
      </w:pPr>
    </w:p>
    <w:p>
      <w:pPr>
        <w:spacing w:line="240" w:lineRule="auto" w:after="120" w:before="0"/>
      </w:pPr>
      <w:r>
        <w:rPr>
          <w:rFonts w:ascii="Arial" w:hAnsi="Arial" w:cs="Arial"/>
          <w:b/>
          <w:i w:val="0"/>
          <w:color w:val="1F1F1F"/>
          <w:sz w:val="28"/>
        </w:rPr>
        <w:t>7. Individual conclusions</w:t>
      </w:r>
    </w:p>
    <w:p>
      <w:pPr>
        <w:spacing w:line="240" w:lineRule="auto" w:after="120" w:before="0"/>
      </w:pPr>
      <w:r>
        <w:rPr>
          <w:rFonts w:ascii="Arial" w:hAnsi="Arial" w:cs="Arial"/>
          <w:b/>
          <w:i w:val="0"/>
          <w:color w:val="1F1F1F"/>
          <w:sz w:val="24"/>
        </w:rPr>
        <w:t>7.1 Exequiel Alvarado</w:t>
      </w:r>
    </w:p>
    <w:p>
      <w:pPr>
        <w:spacing w:line="360" w:lineRule="auto" w:after="120" w:before="0"/>
        <w:jc w:val="both"/>
      </w:pPr>
      <w:r>
        <w:rPr>
          <w:rFonts w:ascii="Arial" w:hAnsi="Arial" w:cs="Arial"/>
          <w:b w:val="0"/>
          <w:i w:val="0"/>
          <w:color w:val="1F1F1F"/>
          <w:sz w:val="22"/>
        </w:rPr>
        <w:t>Working on the definition of this project taught me that planning is not a document you write once and then follow. We spent four weeks building a backlog of nine epics and sixty-seven user stories, and on 28 August the company handed us the system already built. Instead of defending the plan we had made, we had to audit what we had received: we ran its test suite, we counted its endpoints and we compared the result against the six phases the company had committed to. That audit produced eight prioritised gaps, and those gaps are now the real work plan. My main conclusion is that the most valuable skill in this phase was not writing code but verifying claims. The system we received passes sixteen tests, yet only one of them checks the isolation between client companies, which is the single requirement that cannot fail in a multi-tenant platform. Discovering that gap changed my priorities for the rest of the project, and it is the reason why an automated isolation test suite is the first thing I will build in the next phase.</w:t>
      </w:r>
    </w:p>
    <w:p>
      <w:pPr>
        <w:spacing w:line="240" w:lineRule="auto" w:after="120" w:before="0"/>
      </w:pPr>
      <w:r>
        <w:rPr>
          <w:rFonts w:ascii="Arial" w:hAnsi="Arial" w:cs="Arial"/>
          <w:b/>
          <w:i w:val="0"/>
          <w:color w:val="1F1F1F"/>
          <w:sz w:val="24"/>
        </w:rPr>
        <w:t>7.2 Diana Guerrero</w:t>
      </w:r>
    </w:p>
    <w:p>
      <w:pPr>
        <w:spacing w:line="360" w:lineRule="auto" w:after="120" w:before="0"/>
        <w:jc w:val="both"/>
      </w:pPr>
      <w:r>
        <w:rPr>
          <w:rFonts w:ascii="Arial" w:hAnsi="Arial" w:cs="Arial"/>
          <w:b w:val="0"/>
          <w:i w:val="0"/>
          <w:color w:val="1F1F1F"/>
          <w:sz w:val="22"/>
        </w:rPr>
        <w:t>The main conclusion I draw from this phase is that a work plan is only useful if it can survive a change in its own foundations. We planned eighteen weeks of development, and a single delivery from the company made half of that plan obsolete. Rebuilding the schedule forced us to separate what we truly needed to do from what we had simply assumed we would do, and the result is a shorter and much more honest plan. I also learned that coordinating a team where only one member writes code is a constraint that must be visible in the planning itself, not hidden behind optimistic estimates. Every activity in our Gantt chart is sized against that reality, and the scope we could not defend was written down as a roadmap instead of being promised. That decision is uncomfortable to make, but it is the one that keeps the commitment credible in front of the company and the teacher.</w:t>
      </w:r>
    </w:p>
    <w:p>
      <w:pPr>
        <w:spacing w:line="240" w:lineRule="auto" w:after="120" w:before="0"/>
      </w:pPr>
      <w:r>
        <w:rPr>
          <w:rFonts w:ascii="Arial" w:hAnsi="Arial" w:cs="Arial"/>
          <w:b/>
          <w:i w:val="0"/>
          <w:color w:val="1F1F1F"/>
          <w:sz w:val="24"/>
        </w:rPr>
        <w:t>7.3 Cristian Jorquera</w:t>
      </w:r>
    </w:p>
    <w:p>
      <w:pPr>
        <w:spacing w:line="360" w:lineRule="auto" w:after="120" w:before="0"/>
        <w:jc w:val="both"/>
      </w:pPr>
      <w:r>
        <w:rPr>
          <w:rFonts w:ascii="Arial" w:hAnsi="Arial" w:cs="Arial"/>
          <w:b w:val="0"/>
          <w:i w:val="0"/>
          <w:color w:val="1F1F1F"/>
          <w:sz w:val="22"/>
        </w:rPr>
        <w:t>My conclusion from this phase is that quality has to be defined before it can be measured. When we received the implemented system, its documentation stated that it worked, and its test suite was completely green. Neither statement told us what we actually needed to know, because nobody had written down what the system was supposed to guarantee. Once we did that, two gaps became obvious: data isolation between client companies is verified by a single test on a single endpoint, and there is no set of questions with expected answers that would allow us to say whether the bot answers well or badly. Both gaps are now written as concrete deliverables with acceptance criteria. I finish this phase convinced that acceptance criteria written before development are worth more than any number of tests written afterwards, because they are what turns an opinion about quality into evidence.</w:t>
      </w:r>
    </w:p>
    <w:p>
      <w:pPr>
        <w:spacing w:line="240" w:lineRule="auto" w:after="120" w:before="0"/>
      </w:pPr>
      <w:r>
        <w:rPr>
          <w:rFonts w:ascii="Arial" w:hAnsi="Arial" w:cs="Arial"/>
          <w:b/>
          <w:i w:val="0"/>
          <w:color w:val="1F1F1F"/>
          <w:sz w:val="24"/>
        </w:rPr>
        <w:t>7.4 Manuel Jansen</w:t>
      </w:r>
    </w:p>
    <w:p>
      <w:pPr>
        <w:spacing w:line="360" w:lineRule="auto" w:after="120" w:before="0"/>
        <w:jc w:val="both"/>
      </w:pPr>
      <w:r>
        <w:rPr>
          <w:rFonts w:ascii="Arial" w:hAnsi="Arial" w:cs="Arial"/>
          <w:b w:val="0"/>
          <w:i w:val="0"/>
          <w:color w:val="1F1F1F"/>
          <w:sz w:val="22"/>
        </w:rPr>
        <w:t>This phase showed me that interface design decisions are constrained much earlier than I expected. Our platform has three interfaces with very different audiences, it must work in three languages and in light and dark mode, and it has to be operated by people who are not technical. Designing screens one by one would have produced an inconsistent product, so we moved to a system of shared components and design tokens, and the redesign of the wireframe was rebuilt around that idea. The second conclusion I draw is about receiving feedback: our first version of the wireframe was reviewed in writing, eight concrete corrections came out of that review, and applying them improved the result far more than any of my own initial ideas. I now understand a design review as part of the work and not as a judgement of it.</w:t>
      </w:r>
    </w:p>
    <w:p>
      <w:pPr>
        <w:spacing w:line="240" w:lineRule="auto" w:after="120" w:before="0"/>
      </w:pPr>
      <w:r>
        <w:rPr>
          <w:rFonts w:ascii="Arial" w:hAnsi="Arial" w:cs="Arial"/>
          <w:b/>
          <w:i w:val="0"/>
          <w:color w:val="1F1F1F"/>
          <w:sz w:val="28"/>
        </w:rPr>
        <w:t>8. Reflection</w:t>
      </w:r>
    </w:p>
    <w:p>
      <w:pPr>
        <w:spacing w:line="360" w:lineRule="auto" w:after="120" w:before="0"/>
        <w:jc w:val="both"/>
      </w:pPr>
      <w:r>
        <w:rPr>
          <w:rFonts w:ascii="Arial" w:hAnsi="Arial" w:cs="Arial"/>
          <w:b w:val="0"/>
          <w:i w:val="0"/>
          <w:color w:val="1F1F1F"/>
          <w:sz w:val="22"/>
        </w:rPr>
        <w:t>Looking back at this first phase, the most valuable thing we learned had little to do with technology. We began by planning a system we intended to build, and we ended by auditing a system somebody else had already built. That change forced every one of us out of the comfortable position of defending our own work and into the harder position of verifying somebody else's. It changed the questions we ask: instead of asking what we should build next, we now ask how we would know whether what exists actually works.</w:t>
      </w:r>
    </w:p>
    <w:p>
      <w:pPr>
        <w:spacing w:line="360" w:lineRule="auto" w:after="120" w:before="0"/>
        <w:jc w:val="both"/>
      </w:pPr>
      <w:r>
        <w:rPr>
          <w:rFonts w:ascii="Arial" w:hAnsi="Arial" w:cs="Arial"/>
          <w:b w:val="0"/>
          <w:i w:val="0"/>
          <w:color w:val="1F1F1F"/>
          <w:sz w:val="22"/>
        </w:rPr>
        <w:t>This shift also changed how we make decisions as a team. Two questions remain genuinely open, the deployment platform and the embeddings provider, and both have a real cost attached. Rather than deciding them quietly, we wrote them down as architecture decision records with their alternatives and their consequences, so that the company can take part in the decision. We learned that writing down what you have not yet decided is as important as documenting what you have.</w:t>
      </w:r>
    </w:p>
    <w:p>
      <w:pPr>
        <w:spacing w:line="360" w:lineRule="auto" w:after="120" w:before="0"/>
        <w:jc w:val="both"/>
      </w:pPr>
      <w:r>
        <w:rPr>
          <w:rFonts w:ascii="Arial" w:hAnsi="Arial" w:cs="Arial"/>
          <w:b w:val="0"/>
          <w:i w:val="0"/>
          <w:color w:val="1F1F1F"/>
          <w:sz w:val="22"/>
        </w:rPr>
        <w:t>Finally, we learned to be honest about our own capacity. We are four people and only one of us writes code. Pretending otherwise would have produced a schedule that looked ambitious and failed quietly. Instead, every activity in our Gantt chart is sized against that limit, the scope we could not defend was recorded as a roadmap rather than promised, and each progress delivery is followed by a week reserved for corrections. We would rather present a smaller plan we can defend than a larger one we cannot.</w:t>
      </w:r>
    </w:p>
    <w:p>
      <w:pPr>
        <w:spacing w:line="240" w:lineRule="auto" w:after="120" w:before="0"/>
      </w:pPr>
      <w:r>
        <w:rPr>
          <w:rFonts w:ascii="Arial" w:hAnsi="Arial" w:cs="Arial"/>
          <w:b/>
          <w:i w:val="0"/>
          <w:color w:val="1F1F1F"/>
          <w:sz w:val="28"/>
        </w:rPr>
        <w:t>9. Referencias</w:t>
      </w:r>
    </w:p>
    <w:p>
      <w:pPr>
        <w:spacing w:line="360" w:lineRule="auto" w:after="120" w:before="0"/>
        <w:jc w:val="both"/>
      </w:pPr>
      <w:r>
        <w:rPr>
          <w:rFonts w:ascii="Arial" w:hAnsi="Arial" w:cs="Arial"/>
          <w:b w:val="0"/>
          <w:i w:val="0"/>
          <w:color w:val="1F1F1F"/>
          <w:sz w:val="22"/>
        </w:rPr>
        <w:t>Alloxentric. (2026). Documentación funcional del proyecto Chatbot de Soporte Genérico. Documento interno de la empresa, entregado al equipo el 28 de agosto de 2026.</w:t>
      </w:r>
    </w:p>
    <w:p>
      <w:pPr>
        <w:spacing w:line="360" w:lineRule="auto" w:after="120" w:before="0"/>
        <w:jc w:val="both"/>
      </w:pPr>
      <w:r>
        <w:rPr>
          <w:rFonts w:ascii="Arial" w:hAnsi="Arial" w:cs="Arial"/>
          <w:b w:val="0"/>
          <w:i w:val="0"/>
          <w:color w:val="1F1F1F"/>
          <w:sz w:val="22"/>
        </w:rPr>
        <w:t>Duoc UC. (2026). Guía del Estudiante, Fase 1: Definición del Proyecto APT. Escuela de Informática y Telecomunicaciones.</w:t>
      </w:r>
    </w:p>
    <w:p>
      <w:pPr>
        <w:spacing w:line="360" w:lineRule="auto" w:after="120" w:before="0"/>
        <w:jc w:val="both"/>
      </w:pPr>
      <w:r>
        <w:rPr>
          <w:rFonts w:ascii="Arial" w:hAnsi="Arial" w:cs="Arial"/>
          <w:b w:val="0"/>
          <w:i w:val="0"/>
          <w:color w:val="1F1F1F"/>
          <w:sz w:val="22"/>
        </w:rPr>
        <w:t>Duoc UC. (2026). Perfil de egreso de Ingeniería en Informática. Escuela de Informática y Telecomunicaciones.</w:t>
      </w:r>
    </w:p>
    <w:p>
      <w:pPr>
        <w:spacing w:line="360" w:lineRule="auto" w:after="120" w:before="0"/>
        <w:jc w:val="both"/>
      </w:pPr>
      <w:r>
        <w:rPr>
          <w:rFonts w:ascii="Arial" w:hAnsi="Arial" w:cs="Arial"/>
          <w:b w:val="0"/>
          <w:i w:val="0"/>
          <w:color w:val="1F1F1F"/>
          <w:sz w:val="22"/>
        </w:rPr>
        <w:t>Lewis, P., Perez, E., Piktus, A., et al. (2020). Retrieval-Augmented Generation for Knowledge-Intensive NLP Tasks. Advances in Neural Information Processing Systems, 33.</w:t>
      </w:r>
    </w:p>
    <w:p>
      <w:pPr>
        <w:spacing w:line="360" w:lineRule="auto" w:after="120" w:before="0"/>
        <w:jc w:val="both"/>
      </w:pPr>
      <w:r>
        <w:rPr>
          <w:rFonts w:ascii="Arial" w:hAnsi="Arial" w:cs="Arial"/>
          <w:b w:val="0"/>
          <w:i w:val="0"/>
          <w:color w:val="1F1F1F"/>
          <w:sz w:val="22"/>
        </w:rPr>
        <w:t>Malkov, Y. A., &amp; Yashunin, D. A. (2020). Efficient and Robust Approximate Nearest Neighbor Search Using Hierarchical Navigable Small World Graphs. IEEE Transactions on Pattern Analysis and Machine Intelligence, 42(4), 824-836.</w:t>
      </w:r>
    </w:p>
    <w:p>
      <w:pPr>
        <w:spacing w:line="360" w:lineRule="auto" w:after="120" w:before="0"/>
        <w:jc w:val="both"/>
      </w:pPr>
      <w:r>
        <w:rPr>
          <w:rFonts w:ascii="Arial" w:hAnsi="Arial" w:cs="Arial"/>
          <w:b w:val="0"/>
          <w:i w:val="0"/>
          <w:color w:val="1F1F1F"/>
          <w:sz w:val="22"/>
        </w:rPr>
        <w:t>PostgreSQL Global Development Group. (2026). PostgreSQL 16 Documentation: Row Security Policies. Recuperado de https://www.postgresql.org/docs/16/ddl-rowsecurity.html</w:t>
      </w:r>
    </w:p>
    <w:p>
      <w:pPr>
        <w:spacing w:line="360" w:lineRule="auto" w:after="120" w:before="0"/>
        <w:jc w:val="both"/>
      </w:pPr>
      <w:r>
        <w:rPr>
          <w:rFonts w:ascii="Arial" w:hAnsi="Arial" w:cs="Arial"/>
          <w:b w:val="0"/>
          <w:i w:val="0"/>
          <w:color w:val="1F1F1F"/>
          <w:sz w:val="22"/>
        </w:rPr>
        <w:t>Schwaber, K., &amp; Sutherland, J. (2020). The Scrum Guide: The Definitive Guide to Scrum. Recuperado de https://scrumguides.org</w:t>
      </w:r>
    </w:p>
    <w:p>
      <w:r>
        <w:br w:type="page"/>
      </w:r>
    </w:p>
    <w:p>
      <w:pPr>
        <w:spacing w:line="240" w:lineRule="auto" w:after="120" w:before="0"/>
      </w:pPr>
      <w:r>
        <w:rPr>
          <w:rFonts w:ascii="Arial" w:hAnsi="Arial" w:cs="Arial"/>
          <w:b/>
          <w:i w:val="0"/>
          <w:color w:val="1F1F1F"/>
          <w:sz w:val="28"/>
        </w:rPr>
        <w:t>Anexo A. Pauta de evaluación de la asignatura</w:t>
      </w:r>
    </w:p>
    <w:p>
      <w:pPr>
        <w:spacing w:line="360" w:lineRule="auto" w:after="120" w:before="0"/>
        <w:jc w:val="both"/>
      </w:pPr>
      <w:r>
        <w:rPr>
          <w:rFonts w:ascii="Arial" w:hAnsi="Arial" w:cs="Arial"/>
          <w:b w:val="0"/>
          <w:i w:val="0"/>
          <w:color w:val="1F1F1F"/>
          <w:sz w:val="22"/>
        </w:rPr>
        <w:t>Se reproduce a continuación, sin modificaciones, el instrumento con el que el/la docente evalúa esta entrega formativa. Las secciones 1 a 8 de este informe responden a sus seis indicadores de evaluación.</w:t>
      </w:r>
    </w:p>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3951A0">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0E5CB" w14:textId="77777777" w:rsidR="005112E9" w:rsidRDefault="005112E9" w:rsidP="00B2162E">
      <w:r>
        <w:separator/>
      </w:r>
    </w:p>
  </w:endnote>
  <w:endnote w:type="continuationSeparator" w:id="0">
    <w:p w14:paraId="4B839D4A" w14:textId="77777777" w:rsidR="005112E9" w:rsidRDefault="005112E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CF5F5" w14:textId="77777777" w:rsidR="005112E9" w:rsidRDefault="005112E9" w:rsidP="00B2162E">
      <w:r>
        <w:separator/>
      </w:r>
    </w:p>
  </w:footnote>
  <w:footnote w:type="continuationSeparator" w:id="0">
    <w:p w14:paraId="59C410ED" w14:textId="77777777" w:rsidR="005112E9" w:rsidRDefault="005112E9"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1844</Words>
  <Characters>10143</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67</cp:revision>
  <cp:lastPrinted>2021-11-25T12:30:00Z</cp:lastPrinted>
  <dcterms:created xsi:type="dcterms:W3CDTF">2022-08-25T15:56:00Z</dcterms:created>
  <dcterms:modified xsi:type="dcterms:W3CDTF">2023-06-30T20:53:00Z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