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400" w:after="120" w:line="360" w:lineRule="auto"/>
        <w:jc w:val="center"/>
      </w:pPr>
      <w:r>
        <w:rPr>
          <w:rFonts w:ascii="Arial" w:hAnsi="Arial" w:eastAsia="Arial"/>
          <w:b/>
          <w:i w:val="0"/>
          <w:color w:val="1F3864"/>
          <w:sz w:val="44"/>
        </w:rPr>
        <w:t>Informe técnico de avance</w:t>
      </w:r>
    </w:p>
    <w:p>
      <w:pPr>
        <w:spacing w:before="0" w:after="120" w:line="360" w:lineRule="auto"/>
        <w:jc w:val="center"/>
      </w:pPr>
      <w:r>
        <w:rPr>
          <w:rFonts w:ascii="Arial" w:hAnsi="Arial" w:eastAsia="Arial"/>
          <w:b w:val="0"/>
          <w:i w:val="0"/>
          <w:color w:val="1F1F1F"/>
          <w:sz w:val="32"/>
        </w:rPr>
        <w:t>Chatbot de Soporte Genérico Alloxentric</w:t>
      </w:r>
    </w:p>
    <w:p>
      <w:pPr>
        <w:spacing w:before="0" w:after="120" w:line="360" w:lineRule="auto"/>
        <w:jc w:val="center"/>
      </w:pPr>
      <w:r>
        <w:rPr>
          <w:rFonts w:ascii="Arial" w:hAnsi="Arial" w:eastAsia="Arial"/>
          <w:b w:val="0"/>
          <w:i w:val="0"/>
          <w:color w:val="1F1F1F"/>
          <w:sz w:val="24"/>
        </w:rPr>
        <w:t>Fase 2 — Desarrollo del Proyecto APT · Evaluación formativa 2.3</w:t>
      </w:r>
    </w:p>
    <w:p>
      <w:pPr>
        <w:spacing w:before="0" w:after="0" w:line="360" w:lineRule="auto"/>
        <w:jc w:val="center"/>
      </w:pPr>
      <w:r>
        <w:rPr>
          <w:rFonts w:ascii="Arial" w:hAnsi="Arial" w:eastAsia="Arial"/>
          <w:b w:val="0"/>
          <w:i w:val="0"/>
          <w:color w:val="1F1F1F"/>
          <w:sz w:val="22"/>
        </w:rPr>
        <w:t>Exequiel Alvarado</w:t>
      </w:r>
    </w:p>
    <w:p>
      <w:pPr>
        <w:spacing w:before="0" w:after="0" w:line="360" w:lineRule="auto"/>
        <w:jc w:val="center"/>
      </w:pPr>
      <w:r>
        <w:rPr>
          <w:rFonts w:ascii="Arial" w:hAnsi="Arial" w:eastAsia="Arial"/>
          <w:b w:val="0"/>
          <w:i w:val="0"/>
          <w:color w:val="1F1F1F"/>
          <w:sz w:val="22"/>
        </w:rPr>
        <w:t>Diana Guerrero</w:t>
      </w:r>
    </w:p>
    <w:p>
      <w:pPr>
        <w:spacing w:before="0" w:after="0" w:line="360" w:lineRule="auto"/>
        <w:jc w:val="center"/>
      </w:pPr>
      <w:r>
        <w:rPr>
          <w:rFonts w:ascii="Arial" w:hAnsi="Arial" w:eastAsia="Arial"/>
          <w:b w:val="0"/>
          <w:i w:val="0"/>
          <w:color w:val="1F1F1F"/>
          <w:sz w:val="22"/>
        </w:rPr>
        <w:t>Manuel Jansen</w:t>
      </w:r>
    </w:p>
    <w:p>
      <w:pPr>
        <w:spacing w:before="0" w:after="0" w:line="360" w:lineRule="auto"/>
        <w:jc w:val="center"/>
      </w:pPr>
      <w:r>
        <w:rPr>
          <w:rFonts w:ascii="Arial" w:hAnsi="Arial" w:eastAsia="Arial"/>
          <w:b w:val="0"/>
          <w:i w:val="0"/>
          <w:color w:val="1F1F1F"/>
          <w:sz w:val="22"/>
        </w:rPr>
        <w:t>Cristian Jorquera</w:t>
      </w:r>
    </w:p>
    <w:p>
      <w:pPr>
        <w:spacing w:before="0" w:after="120" w:line="360" w:lineRule="auto"/>
        <w:jc w:val="center"/>
      </w:pPr>
      <w:r>
        <w:rPr>
          <w:rFonts w:ascii="Arial" w:hAnsi="Arial" w:eastAsia="Arial"/>
          <w:b w:val="0"/>
          <w:i w:val="0"/>
          <w:color w:val="1F1F1F"/>
          <w:sz w:val="22"/>
        </w:rPr>
        <w:br/>
        <w:t>Ingeniería en Informática · Sede Antonio Varas</w:t>
        <w:br/>
        <w:t>Docente: Arturo Guerra Castro</w:t>
        <w:br/>
        <w:t>16 de octubre de 2026</w:t>
      </w:r>
    </w:p>
    <w:p>
      <w:r>
        <w:br w:type="page"/>
      </w:r>
    </w:p>
    <w:p>
      <w:pPr>
        <w:spacing w:before="240" w:after="120" w:line="360" w:lineRule="auto"/>
      </w:pPr>
      <w:r>
        <w:rPr>
          <w:rFonts w:ascii="Arial" w:hAnsi="Arial" w:eastAsia="Arial"/>
          <w:b/>
          <w:i w:val="0"/>
          <w:color w:val="1F3864"/>
          <w:sz w:val="28"/>
        </w:rPr>
        <w:t>1. Abstract</w:t>
      </w:r>
    </w:p>
    <w:p>
      <w:pPr>
        <w:spacing w:before="240" w:after="120" w:line="360" w:lineRule="auto"/>
      </w:pPr>
      <w:r>
        <w:rPr>
          <w:rFonts w:ascii="Arial" w:hAnsi="Arial" w:eastAsia="Arial"/>
          <w:b/>
          <w:i w:val="0"/>
          <w:color w:val="1F3864"/>
          <w:sz w:val="24"/>
        </w:rPr>
        <w:t>1.1 Resumen (español)</w:t>
      </w:r>
    </w:p>
    <w:p>
      <w:pPr>
        <w:spacing w:before="0" w:after="120" w:line="360" w:lineRule="auto"/>
      </w:pPr>
      <w:r>
        <w:rPr>
          <w:rFonts w:ascii="Arial" w:hAnsi="Arial" w:eastAsia="Arial"/>
          <w:b w:val="0"/>
          <w:i w:val="0"/>
          <w:color w:val="1F1F1F"/>
          <w:sz w:val="22"/>
        </w:rPr>
        <w:t>El proyecto desarrolla, verifica y pone en producción una plataforma multiempresa de soporte conversacional para Alloxentric. A la semana 11 el sistema funciona en Vercel y Supabase: cada empresa gestiona su conocimiento y obtiene un chat con dos agentes basados en RAG que responden solo con esa información y derivan a una persona cuando no resuelven. El motor es un grafo de LangGraph de siete pasos, con verificación de la respuesta y una comprobación fija que impide entregar datos que no estén en la base. Se planifica sobre historias de usuario en Jira y se certifica con 391 pruebas automatizadas que corren en cada cambio. Este informe resume el avance, los ajustes, las evidencias y los indicadores de calidad cumplidos.</w:t>
      </w:r>
    </w:p>
    <w:p>
      <w:pPr>
        <w:spacing w:before="240" w:after="120" w:line="360" w:lineRule="auto"/>
      </w:pPr>
      <w:r>
        <w:rPr>
          <w:rFonts w:ascii="Arial" w:hAnsi="Arial" w:eastAsia="Arial"/>
          <w:b/>
          <w:i w:val="0"/>
          <w:color w:val="1F3864"/>
          <w:sz w:val="24"/>
        </w:rPr>
        <w:t>1.2 Abstract (English)</w:t>
      </w:r>
    </w:p>
    <w:p>
      <w:pPr>
        <w:spacing w:before="0" w:after="120" w:line="360" w:lineRule="auto"/>
      </w:pPr>
      <w:r>
        <w:rPr>
          <w:rFonts w:ascii="Arial" w:hAnsi="Arial" w:eastAsia="Arial"/>
          <w:b w:val="0"/>
          <w:i w:val="0"/>
          <w:color w:val="1F1F1F"/>
          <w:sz w:val="22"/>
        </w:rPr>
        <w:t>The project develops, verifies and puts into production a multi-tenant conversational support platform for Alloxentric. By week 11 the system runs on Vercel and Supabase: each company manages its knowledge and gets a chat with two RAG-based agents that answer only with that information and hand over to a person when they cannot solve the request. The engine is a seven-step LangGraph graph, with answer verification and a fixed check that prevents delivering data that is not in the knowledge base. Planning is done on user stories in Jira, and behavior is certified by 391 automated tests that run on every change. This report summarizes the progress, the adjustments, the evidence and the quality indicators met.</w:t>
      </w:r>
    </w:p>
    <w:p>
      <w:pPr>
        <w:spacing w:before="240" w:after="120" w:line="360" w:lineRule="auto"/>
      </w:pPr>
      <w:r>
        <w:rPr>
          <w:rFonts w:ascii="Arial" w:hAnsi="Arial" w:eastAsia="Arial"/>
          <w:b/>
          <w:i w:val="0"/>
          <w:color w:val="1F3864"/>
          <w:sz w:val="28"/>
        </w:rPr>
        <w:t>2. Avance del Proyecto APT</w:t>
      </w:r>
    </w:p>
    <w:p>
      <w:pPr>
        <w:spacing w:before="0" w:after="120" w:line="360" w:lineRule="auto"/>
      </w:pPr>
      <w:r>
        <w:rPr>
          <w:rFonts w:ascii="Arial" w:hAnsi="Arial" w:eastAsia="Arial"/>
          <w:b w:val="0"/>
          <w:i w:val="0"/>
          <w:color w:val="1F1F1F"/>
          <w:sz w:val="22"/>
        </w:rPr>
        <w:t>A la semana 11 el proyecto tiene una plataforma multiempresa de soporte conversacional funcionando en producción. El frontend (React 18 + Vite) y la API (FastAPI) están desplegados en Vercel, y la base de datos en Supabase (PostgreSQL 17 con pgvector). Cada empresa cliente administra sus documentos, preguntas frecuentes y sitio web; el bot responde con dos agentes, uno técnico y otro comercial, usando solo el conocimiento de esa empresa, y deriva a una persona cuando no resuelve.</w:t>
      </w:r>
    </w:p>
    <w:p>
      <w:pPr>
        <w:spacing w:before="0" w:after="120" w:line="360" w:lineRule="auto"/>
      </w:pPr>
      <w:r>
        <w:rPr>
          <w:rFonts w:ascii="Arial" w:hAnsi="Arial" w:eastAsia="Arial"/>
          <w:b w:val="0"/>
          <w:i w:val="0"/>
          <w:color w:val="1F1F1F"/>
          <w:sz w:val="22"/>
        </w:rPr>
        <w:t>El avance se ordenó a partir de un hito que cambió la fase: el 28 de agosto Alloxentric entregó el sistema ya implementado. El trabajo pasó de construir desde cero a verificar, corregir, completar, desplegar y medir. En ese marco se cerraron, entre otras, estas historias de usuario: modelo de datos multiempresa y migraciones (SCRUM-73), autenticación con roles (SCRUM-79), extracción, troceo y vectorización del contenido (SCRUM-85 y SCRUM-132), escaneo del sitio web de la empresa (SCRUM-24), clave de API propia y cifrada (SCRUM-18), respuestas basadas solo en la documentación (SCRUM-53), configuración de los dos agentes (SCRUM-91), desactivación de empresas (SCRUM-151) y el motor conversacional como grafo de LangGraph (SCRUM-178).</w:t>
      </w:r>
    </w:p>
    <w:p>
      <w:pPr>
        <w:spacing w:before="0" w:after="120" w:line="360" w:lineRule="auto"/>
      </w:pPr>
      <w:r>
        <w:rPr>
          <w:rFonts w:ascii="Arial" w:hAnsi="Arial" w:eastAsia="Arial"/>
          <w:b w:val="0"/>
          <w:i w:val="0"/>
          <w:color w:val="1F1F1F"/>
          <w:sz w:val="22"/>
        </w:rPr>
        <w:t>El motor quedó como un grafo de siete pasos: reformula la pregunta, elige el agente, busca en la base de la empresa, genera la respuesta, la verifica, aplica las reglas de negocio y, al final, comprueba que ningún dato concreto (enlace, correo, teléfono, monto o porcentaje) llegue al cliente si no está en la base. Para medir la calidad con un caso real se cargó Duoc UC como empresa de prueba: 172 páginas de duoc.cl y 987 documentos con las mallas de 95 programas, que el bot ya usa para responder qué ramos tiene cada semestre.</w:t>
      </w:r>
    </w:p>
    <w:p>
      <w:pPr>
        <w:spacing w:before="0" w:after="120" w:line="360" w:lineRule="auto"/>
      </w:pPr>
      <w:r>
        <w:rPr>
          <w:rFonts w:ascii="Arial" w:hAnsi="Arial" w:eastAsia="Arial"/>
          <w:b w:val="0"/>
          <w:i w:val="0"/>
          <w:color w:val="1F1F1F"/>
          <w:sz w:val="22"/>
        </w:rPr>
        <w:t>En números: 391 pruebas automatizadas que corren en cada cambio (también contra PostgreSQL), 31 pull requests revisados (30 fusionados) y 191 incidencias en Jira organizadas en tres sprints.</w:t>
      </w:r>
    </w:p>
    <w:p>
      <w:pPr>
        <w:jc w:val="center"/>
      </w:pPr>
      <w:r>
        <w:drawing>
          <wp:inline>
            <wp:extent cx="5580000" cy="3217681"/>
            <wp:docPr id="1" name="Picture 1"/>
            <wp:cNvGraphicFramePr>
              <a:graphicFrameLocks noChangeAspect="1"/>
            </wp:cNvGraphicFramePr>
            <a:graphic>
              <a:graphicData uri="http://schemas.openxmlformats.org/drawingml/2006/picture">
                <pic:pic>
                  <pic:nvPicPr>
                    <pic:cNvPr id="0" name="diagrama-despliegue.png"/>
                    <pic:cNvPicPr/>
                  </pic:nvPicPr>
                  <pic:blipFill>
                    <a:blip r:embed="rId8"/>
                    <a:stretch>
                      <a:fillRect/>
                    </a:stretch>
                  </pic:blipFill>
                  <pic:spPr>
                    <a:xfrm>
                      <a:off x="0" y="0"/>
                      <a:ext cx="5580000" cy="3217681"/>
                    </a:xfrm>
                    <a:prstGeom prst="rect"/>
                  </pic:spPr>
                </pic:pic>
              </a:graphicData>
            </a:graphic>
          </wp:inline>
        </w:drawing>
      </w:r>
    </w:p>
    <w:p>
      <w:pPr>
        <w:jc w:val="center"/>
      </w:pPr>
      <w:r>
        <w:rPr>
          <w:rFonts w:ascii="Arial" w:hAnsi="Arial" w:eastAsia="Arial"/>
          <w:b w:val="0"/>
          <w:i/>
          <w:color w:val="595959"/>
          <w:sz w:val="17"/>
        </w:rPr>
        <w:t>Figura 1. Diagrama de despliegue en producción (16-10-2026).</w:t>
      </w:r>
    </w:p>
    <w:p>
      <w:pPr>
        <w:spacing w:before="240" w:after="120" w:line="360" w:lineRule="auto"/>
      </w:pPr>
      <w:r>
        <w:rPr>
          <w:rFonts w:ascii="Arial" w:hAnsi="Arial" w:eastAsia="Arial"/>
          <w:b/>
          <w:i w:val="0"/>
          <w:color w:val="1F3864"/>
          <w:sz w:val="28"/>
        </w:rPr>
        <w:t>3. Ajustes a partir de la retroalimentación y del monitoreo</w:t>
      </w:r>
    </w:p>
    <w:p>
      <w:pPr>
        <w:spacing w:before="0" w:after="120" w:line="360" w:lineRule="auto"/>
      </w:pPr>
      <w:r>
        <w:rPr>
          <w:rFonts w:ascii="Arial" w:hAnsi="Arial" w:eastAsia="Arial"/>
          <w:b w:val="0"/>
          <w:i w:val="0"/>
          <w:color w:val="1F1F1F"/>
          <w:sz w:val="22"/>
        </w:rPr>
        <w:t>· Integración con el modelo de lenguaje (semana 13): se adelantó a las semanas 7 a 11 y se generalizó de DeepSeek a cualquier proveedor compatible con OpenAI (hoy Groq), con proveedor de respaldo. Motivo: el plan gratuito permitió probar sin costo y el cambio evitó depender de un solo proveedor.</w:t>
      </w:r>
    </w:p>
    <w:p>
      <w:pPr>
        <w:spacing w:before="0" w:after="120" w:line="360" w:lineRule="auto"/>
      </w:pPr>
      <w:r>
        <w:rPr>
          <w:rFonts w:ascii="Arial" w:hAnsi="Arial" w:eastAsia="Arial"/>
          <w:b w:val="0"/>
          <w:i w:val="0"/>
          <w:color w:val="1F1F1F"/>
          <w:sz w:val="22"/>
        </w:rPr>
        <w:t>· Base de conocimiento (semana 7): pasó a CRUD completo con documentos de texto y escaneo por tandas, porque Vercel no tiene disco ni procesos largos.</w:t>
      </w:r>
    </w:p>
    <w:p>
      <w:pPr>
        <w:spacing w:before="0" w:after="120" w:line="360" w:lineRule="auto"/>
      </w:pPr>
      <w:r>
        <w:rPr>
          <w:rFonts w:ascii="Arial" w:hAnsi="Arial" w:eastAsia="Arial"/>
          <w:b w:val="0"/>
          <w:i w:val="0"/>
          <w:color w:val="1F1F1F"/>
          <w:sz w:val="22"/>
        </w:rPr>
        <w:t>· Despliegue: Vercel + Supabase en vez de una VPS (ADR 0001), por costo cero e integración continua simple.</w:t>
      </w:r>
    </w:p>
    <w:p>
      <w:pPr>
        <w:spacing w:before="0" w:after="120" w:line="360" w:lineRule="auto"/>
      </w:pPr>
      <w:r>
        <w:rPr>
          <w:rFonts w:ascii="Arial" w:hAnsi="Arial" w:eastAsia="Arial"/>
          <w:b w:val="0"/>
          <w:i w:val="0"/>
          <w:color w:val="1F1F1F"/>
          <w:sz w:val="22"/>
        </w:rPr>
        <w:t>· Canal WhatsApp: eliminado de la v1 (ADR 0002), porque depende de la verificación de Meta.</w:t>
      </w:r>
    </w:p>
    <w:p>
      <w:pPr>
        <w:spacing w:before="0" w:after="120" w:line="360" w:lineRule="auto"/>
      </w:pPr>
      <w:r>
        <w:rPr>
          <w:rFonts w:ascii="Arial" w:hAnsi="Arial" w:eastAsia="Arial"/>
          <w:b w:val="0"/>
          <w:i w:val="0"/>
          <w:color w:val="1F1F1F"/>
          <w:sz w:val="22"/>
        </w:rPr>
        <w:t>· Calidad de respuestas (semana 14): se adelantó parte del trabajo (umbral calibrado, búsqueda exacta y comprobación de datos) al detectar en producción respuestas incompletas y datos inventados.</w:t>
      </w:r>
    </w:p>
    <w:p>
      <w:pPr>
        <w:spacing w:before="0" w:after="120" w:line="360" w:lineRule="auto"/>
      </w:pPr>
      <w:r>
        <w:rPr>
          <w:rFonts w:ascii="Arial" w:hAnsi="Arial" w:eastAsia="Arial"/>
          <w:b w:val="0"/>
          <w:i w:val="0"/>
          <w:color w:val="1F1F1F"/>
          <w:sz w:val="22"/>
        </w:rPr>
        <w:t>· Retroalimentación de la Fase 1: la planificación se rehízo sobre las historias de usuario, la arquitectura pasó a diagrama de despliegue, se cerró el alcance y se ordenó el repositorio según la estructura oficial.</w:t>
      </w:r>
    </w:p>
    <w:p>
      <w:pPr>
        <w:spacing w:before="240" w:after="120" w:line="360" w:lineRule="auto"/>
      </w:pPr>
      <w:r>
        <w:rPr>
          <w:rFonts w:ascii="Arial" w:hAnsi="Arial" w:eastAsia="Arial"/>
          <w:b/>
          <w:i w:val="0"/>
          <w:color w:val="1F3864"/>
          <w:sz w:val="24"/>
        </w:rPr>
        <w:t>3.1 Facilitadores y dificultades</w:t>
      </w:r>
    </w:p>
    <w:p>
      <w:pPr>
        <w:spacing w:before="0" w:after="120" w:line="360" w:lineRule="auto"/>
      </w:pPr>
      <w:r>
        <w:rPr>
          <w:rFonts w:ascii="Arial" w:hAnsi="Arial" w:eastAsia="Arial"/>
          <w:b w:val="0"/>
          <w:i w:val="0"/>
          <w:color w:val="1F1F1F"/>
          <w:sz w:val="22"/>
        </w:rPr>
        <w:t>Facilitadores: (1) el sistema que entregó Alloxentric el 28 de agosto ya cubría buena parte del alcance, lo que permitió invertir el tiempo en verificar y mejorar; (2) la integración continua atrapa regresiones antes de fusionar y se extendió a PostgreSQL para detectar lo que SQLite oculta; (3) el plan gratuito del proveedor de modelo permitió probar sin costo; (4) Jira con épicas, historias y subtareas, que hace visible quién hace qué.</w:t>
      </w:r>
    </w:p>
    <w:p>
      <w:pPr>
        <w:spacing w:before="0" w:after="120" w:line="360" w:lineRule="auto"/>
      </w:pPr>
      <w:r>
        <w:rPr>
          <w:rFonts w:ascii="Arial" w:hAnsi="Arial" w:eastAsia="Arial"/>
          <w:b w:val="0"/>
          <w:i w:val="0"/>
          <w:color w:val="1F1F1F"/>
          <w:sz w:val="22"/>
        </w:rPr>
        <w:t>Dificultades: (1) la carga de desarrollo está concentrada en una persona (22 de los 30 pull requests fusionados), lo que convierte su disponibilidad en un riesgo; (2) los límites de uso del proveedor gratuito (error 429) dejaban respuestas sin verificar en horas de carga; (3) Vercel no admite conexiones WebSocket ni disco escribible, lo que deja el chat en vivo y la subida de archivos solo en local; (4) los estados de Jira quedan atrás del código y el importador CSV falló varias veces; (5) la búsqueda por palabras no entiende sinónimos, lo que bajó la calidad de algunas respuestas hasta que se reescribió el contenido.</w:t>
      </w:r>
    </w:p>
    <w:p>
      <w:pPr>
        <w:spacing w:before="240" w:after="120" w:line="360" w:lineRule="auto"/>
      </w:pPr>
      <w:r>
        <w:rPr>
          <w:rFonts w:ascii="Arial" w:hAnsi="Arial" w:eastAsia="Arial"/>
          <w:b/>
          <w:i w:val="0"/>
          <w:color w:val="1F3864"/>
          <w:sz w:val="28"/>
        </w:rPr>
        <w:t>4. Evidencias de avance</w:t>
      </w:r>
    </w:p>
    <w:p>
      <w:pPr>
        <w:spacing w:before="0" w:after="120" w:line="360" w:lineRule="auto"/>
      </w:pPr>
      <w:r>
        <w:rPr>
          <w:rFonts w:ascii="Arial" w:hAnsi="Arial" w:eastAsia="Arial"/>
          <w:b w:val="0"/>
          <w:i w:val="0"/>
          <w:color w:val="1F1F1F"/>
          <w:sz w:val="22"/>
        </w:rPr>
        <w:t>Las evidencias de este avance son las tres comprometidas en la Fase 1, más las del sistema:</w:t>
      </w:r>
    </w:p>
    <w:p>
      <w:pPr>
        <w:spacing w:before="0" w:after="120" w:line="360" w:lineRule="auto"/>
      </w:pPr>
      <w:r>
        <w:rPr>
          <w:rFonts w:ascii="Arial" w:hAnsi="Arial" w:eastAsia="Arial"/>
          <w:b w:val="0"/>
          <w:i w:val="0"/>
          <w:color w:val="1F1F1F"/>
          <w:sz w:val="22"/>
        </w:rPr>
        <w:t>1. Repositorio con integración continua: historial de 31 pull requests y 166 commits, y GitHub Actions que corre ruff, 391 pruebas en SQLite y la suite en PostgreSQL con pgvector, además del build del frontend (Evidencias Proyecto › Evidencias de documentación). Justificación: muestra cómo se construyó la solución y no solo el resultado.</w:t>
      </w:r>
    </w:p>
    <w:p>
      <w:pPr>
        <w:spacing w:before="0" w:after="120" w:line="360" w:lineRule="auto"/>
      </w:pPr>
      <w:r>
        <w:rPr>
          <w:rFonts w:ascii="Arial" w:hAnsi="Arial" w:eastAsia="Arial"/>
          <w:b w:val="0"/>
          <w:i w:val="0"/>
          <w:color w:val="1F1F1F"/>
          <w:sz w:val="22"/>
        </w:rPr>
        <w:t>2. Pruebas de aislamiento entre empresas: pruebas automatizadas que verifican que una empresa nunca recibe fragmentos de otra, incluso con dos empresas consultando a la vez sobre el mismo grafo (tests/test_semantic_search.py y test_motor_langgraph.py, incluidas en el reporte de pruebas). Justificación: es el requisito de seguridad más crítico de una plataforma multiempresa.</w:t>
      </w:r>
    </w:p>
    <w:p>
      <w:pPr>
        <w:spacing w:before="0" w:after="120" w:line="360" w:lineRule="auto"/>
      </w:pPr>
      <w:r>
        <w:rPr>
          <w:rFonts w:ascii="Arial" w:hAnsi="Arial" w:eastAsia="Arial"/>
          <w:b w:val="0"/>
          <w:i w:val="0"/>
          <w:color w:val="1F1F1F"/>
          <w:sz w:val="22"/>
        </w:rPr>
        <w:t>3. Base de conocimiento indexada: las cuatro empresas iniciales simuladas con su conocimiento y Duoc UC con 172 páginas y 987 documentos indexados (Evidencias de sistema Aplicación). Justificación: demuestra la ingesta funcionando sobre datos reales.</w:t>
      </w:r>
    </w:p>
    <w:p>
      <w:pPr>
        <w:spacing w:before="0" w:after="120" w:line="360" w:lineRule="auto"/>
      </w:pPr>
      <w:r>
        <w:rPr>
          <w:rFonts w:ascii="Arial" w:hAnsi="Arial" w:eastAsia="Arial"/>
          <w:b w:val="0"/>
          <w:i w:val="0"/>
          <w:color w:val="1F1F1F"/>
          <w:sz w:val="22"/>
        </w:rPr>
        <w:t>4. Sistema y base de datos: capturas de la aplicación en producción, diagrama de despliegue, esquema SQL, diccionario de datos y modelo entidad-relación (carpetas de Evidencias Proyecto).</w:t>
      </w:r>
    </w:p>
    <w:p>
      <w:pPr>
        <w:spacing w:before="0" w:after="120" w:line="360" w:lineRule="auto"/>
      </w:pPr>
      <w:r>
        <w:rPr>
          <w:rFonts w:ascii="Arial" w:hAnsi="Arial" w:eastAsia="Arial"/>
          <w:b w:val="0"/>
          <w:i w:val="0"/>
          <w:color w:val="1F1F1F"/>
          <w:sz w:val="22"/>
        </w:rPr>
        <w:t>La calidad de las evidencias se resguarda porque salen del propio repositorio y de producción, con fecha, y se pueden regenerar con los scripts que las acompañan.</w:t>
      </w:r>
    </w:p>
    <w:p>
      <w:pPr>
        <w:spacing w:before="240" w:after="120" w:line="360" w:lineRule="auto"/>
      </w:pPr>
      <w:r>
        <w:rPr>
          <w:rFonts w:ascii="Arial" w:hAnsi="Arial" w:eastAsia="Arial"/>
          <w:b/>
          <w:i w:val="0"/>
          <w:color w:val="1F3864"/>
          <w:sz w:val="28"/>
        </w:rPr>
        <w:t>5. Cumplimiento de los indicadores de calidad</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335"/>
        <w:gridCol w:w="4335"/>
        <w:gridCol w:w="4335"/>
      </w:tblGrid>
      <w:tr>
        <w:tc>
          <w:tcPr>
            <w:tcW w:type="dxa" w:w="4335"/>
            <w:shd w:val="clear" w:fill="D9E2F3"/>
          </w:tcPr>
          <w:p>
            <w:pPr>
              <w:spacing w:after="60"/>
            </w:pPr>
            <w:r>
              <w:rPr>
                <w:rFonts w:ascii="Arial" w:hAnsi="Arial" w:eastAsia="Arial"/>
                <w:b/>
                <w:i w:val="0"/>
                <w:color w:val="1F1F1F"/>
                <w:sz w:val="18"/>
              </w:rPr>
              <w:t>Indicador de calidad</w:t>
            </w:r>
          </w:p>
        </w:tc>
        <w:tc>
          <w:tcPr>
            <w:tcW w:type="dxa" w:w="4335"/>
            <w:shd w:val="clear" w:fill="D9E2F3"/>
          </w:tcPr>
          <w:p>
            <w:pPr>
              <w:spacing w:after="60"/>
            </w:pPr>
            <w:r>
              <w:rPr>
                <w:rFonts w:ascii="Arial" w:hAnsi="Arial" w:eastAsia="Arial"/>
                <w:b/>
                <w:i w:val="0"/>
                <w:color w:val="1F1F1F"/>
                <w:sz w:val="18"/>
              </w:rPr>
              <w:t>Cómo se cumple</w:t>
            </w:r>
          </w:p>
        </w:tc>
        <w:tc>
          <w:tcPr>
            <w:tcW w:type="dxa" w:w="4335"/>
            <w:shd w:val="clear" w:fill="D9E2F3"/>
          </w:tcPr>
          <w:p>
            <w:pPr>
              <w:spacing w:after="60"/>
            </w:pPr>
            <w:r>
              <w:rPr>
                <w:rFonts w:ascii="Arial" w:hAnsi="Arial" w:eastAsia="Arial"/>
                <w:b/>
                <w:i w:val="0"/>
                <w:color w:val="1F1F1F"/>
                <w:sz w:val="18"/>
              </w:rPr>
              <w:t>Evidencia</w:t>
            </w:r>
          </w:p>
        </w:tc>
      </w:tr>
      <w:tr>
        <w:tc>
          <w:tcPr>
            <w:tcW w:type="dxa" w:w="4335"/>
          </w:tcPr>
          <w:p>
            <w:pPr>
              <w:spacing w:after="60"/>
            </w:pPr>
            <w:r>
              <w:rPr>
                <w:rFonts w:ascii="Arial" w:hAnsi="Arial" w:eastAsia="Arial"/>
                <w:b w:val="0"/>
                <w:i w:val="0"/>
                <w:color w:val="1F1F1F"/>
                <w:sz w:val="18"/>
              </w:rPr>
              <w:t>1.1 Diseña pruebas de validación</w:t>
            </w:r>
          </w:p>
        </w:tc>
        <w:tc>
          <w:tcPr>
            <w:tcW w:type="dxa" w:w="4335"/>
          </w:tcPr>
          <w:p>
            <w:pPr>
              <w:spacing w:after="60"/>
            </w:pPr>
            <w:r>
              <w:rPr>
                <w:rFonts w:ascii="Arial" w:hAnsi="Arial" w:eastAsia="Arial"/>
                <w:b w:val="0"/>
                <w:i w:val="0"/>
                <w:color w:val="1F1F1F"/>
                <w:sz w:val="18"/>
              </w:rPr>
              <w:t>Casos de prueba derivados de cada historia de usuario (autenticación, chat, derivación, ejecutivos, aislamiento).</w:t>
            </w:r>
          </w:p>
        </w:tc>
        <w:tc>
          <w:tcPr>
            <w:tcW w:type="dxa" w:w="4335"/>
          </w:tcPr>
          <w:p>
            <w:pPr>
              <w:spacing w:after="60"/>
            </w:pPr>
            <w:r>
              <w:rPr>
                <w:rFonts w:ascii="Arial" w:hAnsi="Arial" w:eastAsia="Arial"/>
                <w:b w:val="0"/>
                <w:i w:val="0"/>
                <w:color w:val="1F1F1F"/>
                <w:sz w:val="18"/>
              </w:rPr>
              <w:t>PR #15 a #19; reporte de pruebas</w:t>
            </w:r>
          </w:p>
        </w:tc>
      </w:tr>
      <w:tr>
        <w:tc>
          <w:tcPr>
            <w:tcW w:type="dxa" w:w="4335"/>
          </w:tcPr>
          <w:p>
            <w:pPr>
              <w:spacing w:after="60"/>
            </w:pPr>
            <w:r>
              <w:rPr>
                <w:rFonts w:ascii="Arial" w:hAnsi="Arial" w:eastAsia="Arial"/>
                <w:b w:val="0"/>
                <w:i w:val="0"/>
                <w:color w:val="1F1F1F"/>
                <w:sz w:val="18"/>
              </w:rPr>
              <w:t>1.2 Aplica pruebas de validación</w:t>
            </w:r>
          </w:p>
        </w:tc>
        <w:tc>
          <w:tcPr>
            <w:tcW w:type="dxa" w:w="4335"/>
          </w:tcPr>
          <w:p>
            <w:pPr>
              <w:spacing w:after="60"/>
            </w:pPr>
            <w:r>
              <w:rPr>
                <w:rFonts w:ascii="Arial" w:hAnsi="Arial" w:eastAsia="Arial"/>
                <w:b w:val="0"/>
                <w:i w:val="0"/>
                <w:color w:val="1F1F1F"/>
                <w:sz w:val="18"/>
              </w:rPr>
              <w:t>391 pruebas en cada cambio, en SQLite y en PostgreSQL con pgvector.</w:t>
            </w:r>
          </w:p>
        </w:tc>
        <w:tc>
          <w:tcPr>
            <w:tcW w:type="dxa" w:w="4335"/>
          </w:tcPr>
          <w:p>
            <w:pPr>
              <w:spacing w:after="60"/>
            </w:pPr>
            <w:r>
              <w:rPr>
                <w:rFonts w:ascii="Arial" w:hAnsi="Arial" w:eastAsia="Arial"/>
                <w:b w:val="0"/>
                <w:i w:val="0"/>
                <w:color w:val="1F1F1F"/>
                <w:sz w:val="18"/>
              </w:rPr>
              <w:t>Integración continua (GitHub Actions)</w:t>
            </w:r>
          </w:p>
        </w:tc>
      </w:tr>
      <w:tr>
        <w:tc>
          <w:tcPr>
            <w:tcW w:type="dxa" w:w="4335"/>
          </w:tcPr>
          <w:p>
            <w:pPr>
              <w:spacing w:after="60"/>
            </w:pPr>
            <w:r>
              <w:rPr>
                <w:rFonts w:ascii="Arial" w:hAnsi="Arial" w:eastAsia="Arial"/>
                <w:b w:val="0"/>
                <w:i w:val="0"/>
                <w:color w:val="1F1F1F"/>
                <w:sz w:val="18"/>
              </w:rPr>
              <w:t>1.3 Desarrolla mejoras en base a los resultados</w:t>
            </w:r>
          </w:p>
        </w:tc>
        <w:tc>
          <w:tcPr>
            <w:tcW w:type="dxa" w:w="4335"/>
          </w:tcPr>
          <w:p>
            <w:pPr>
              <w:spacing w:after="60"/>
            </w:pPr>
            <w:r>
              <w:rPr>
                <w:rFonts w:ascii="Arial" w:hAnsi="Arial" w:eastAsia="Arial"/>
                <w:b w:val="0"/>
                <w:i w:val="0"/>
                <w:color w:val="1F1F1F"/>
                <w:sz w:val="18"/>
              </w:rPr>
              <w:t>Fallas de QA corregidas (PR #20, #28); fallas de producción corregidas con su prueba (PR #30, #31).</w:t>
            </w:r>
          </w:p>
        </w:tc>
        <w:tc>
          <w:tcPr>
            <w:tcW w:type="dxa" w:w="4335"/>
          </w:tcPr>
          <w:p>
            <w:pPr>
              <w:spacing w:after="60"/>
            </w:pPr>
            <w:r>
              <w:rPr>
                <w:rFonts w:ascii="Arial" w:hAnsi="Arial" w:eastAsia="Arial"/>
                <w:b w:val="0"/>
                <w:i w:val="0"/>
                <w:color w:val="1F1F1F"/>
                <w:sz w:val="18"/>
              </w:rPr>
              <w:t>Pull requests y pruebas nuevas</w:t>
            </w:r>
          </w:p>
        </w:tc>
      </w:tr>
      <w:tr>
        <w:tc>
          <w:tcPr>
            <w:tcW w:type="dxa" w:w="4335"/>
          </w:tcPr>
          <w:p>
            <w:pPr>
              <w:spacing w:after="60"/>
            </w:pPr>
            <w:r>
              <w:rPr>
                <w:rFonts w:ascii="Arial" w:hAnsi="Arial" w:eastAsia="Arial"/>
                <w:b w:val="0"/>
                <w:i w:val="0"/>
                <w:color w:val="1F1F1F"/>
                <w:sz w:val="18"/>
              </w:rPr>
              <w:t>2.1 Planifica proyectos informáticos</w:t>
            </w:r>
          </w:p>
        </w:tc>
        <w:tc>
          <w:tcPr>
            <w:tcW w:type="dxa" w:w="4335"/>
          </w:tcPr>
          <w:p>
            <w:pPr>
              <w:spacing w:after="60"/>
            </w:pPr>
            <w:r>
              <w:rPr>
                <w:rFonts w:ascii="Arial" w:hAnsi="Arial" w:eastAsia="Arial"/>
                <w:b w:val="0"/>
                <w:i w:val="0"/>
                <w:color w:val="1F1F1F"/>
                <w:sz w:val="18"/>
              </w:rPr>
              <w:t>Backlog de épicas, historias y subtareas en tres sprints; plan de trabajo por historias.</w:t>
            </w:r>
          </w:p>
        </w:tc>
        <w:tc>
          <w:tcPr>
            <w:tcW w:type="dxa" w:w="4335"/>
          </w:tcPr>
          <w:p>
            <w:pPr>
              <w:spacing w:after="60"/>
            </w:pPr>
            <w:r>
              <w:rPr>
                <w:rFonts w:ascii="Arial" w:hAnsi="Arial" w:eastAsia="Arial"/>
                <w:b w:val="0"/>
                <w:i w:val="0"/>
                <w:color w:val="1F1F1F"/>
                <w:sz w:val="18"/>
              </w:rPr>
              <w:t>Jira; 2.4 Plan de trabajo</w:t>
            </w:r>
          </w:p>
        </w:tc>
      </w:tr>
      <w:tr>
        <w:tc>
          <w:tcPr>
            <w:tcW w:type="dxa" w:w="4335"/>
          </w:tcPr>
          <w:p>
            <w:pPr>
              <w:spacing w:after="60"/>
            </w:pPr>
            <w:r>
              <w:rPr>
                <w:rFonts w:ascii="Arial" w:hAnsi="Arial" w:eastAsia="Arial"/>
                <w:b w:val="0"/>
                <w:i w:val="0"/>
                <w:color w:val="1F1F1F"/>
                <w:sz w:val="18"/>
              </w:rPr>
              <w:t>2.2 Controla proyectos informáticos</w:t>
            </w:r>
          </w:p>
        </w:tc>
        <w:tc>
          <w:tcPr>
            <w:tcW w:type="dxa" w:w="4335"/>
          </w:tcPr>
          <w:p>
            <w:pPr>
              <w:spacing w:after="60"/>
            </w:pPr>
            <w:r>
              <w:rPr>
                <w:rFonts w:ascii="Arial" w:hAnsi="Arial" w:eastAsia="Arial"/>
                <w:b w:val="0"/>
                <w:i w:val="0"/>
                <w:color w:val="1F1F1F"/>
                <w:sz w:val="18"/>
              </w:rPr>
              <w:t>Estado por actividad y ajustes justificados; decisiones en ADR.</w:t>
            </w:r>
          </w:p>
        </w:tc>
        <w:tc>
          <w:tcPr>
            <w:tcW w:type="dxa" w:w="4335"/>
          </w:tcPr>
          <w:p>
            <w:pPr>
              <w:spacing w:after="60"/>
            </w:pPr>
            <w:r>
              <w:rPr>
                <w:rFonts w:ascii="Arial" w:hAnsi="Arial" w:eastAsia="Arial"/>
                <w:b w:val="0"/>
                <w:i w:val="0"/>
                <w:color w:val="1F1F1F"/>
                <w:sz w:val="18"/>
              </w:rPr>
              <w:t>2.4 Monitoreo; ADR 0001 y 0002</w:t>
            </w:r>
          </w:p>
        </w:tc>
      </w:tr>
      <w:tr>
        <w:tc>
          <w:tcPr>
            <w:tcW w:type="dxa" w:w="4335"/>
          </w:tcPr>
          <w:p>
            <w:pPr>
              <w:spacing w:after="60"/>
            </w:pPr>
            <w:r>
              <w:rPr>
                <w:rFonts w:ascii="Arial" w:hAnsi="Arial" w:eastAsia="Arial"/>
                <w:b w:val="0"/>
                <w:i w:val="0"/>
                <w:color w:val="1F1F1F"/>
                <w:sz w:val="18"/>
              </w:rPr>
              <w:t>3.1 Diseña modelos de datos</w:t>
            </w:r>
          </w:p>
        </w:tc>
        <w:tc>
          <w:tcPr>
            <w:tcW w:type="dxa" w:w="4335"/>
          </w:tcPr>
          <w:p>
            <w:pPr>
              <w:spacing w:after="60"/>
            </w:pPr>
            <w:r>
              <w:rPr>
                <w:rFonts w:ascii="Arial" w:hAnsi="Arial" w:eastAsia="Arial"/>
                <w:b w:val="0"/>
                <w:i w:val="0"/>
                <w:color w:val="1F1F1F"/>
                <w:sz w:val="18"/>
              </w:rPr>
              <w:t>Modelo multiempresa con tenant_id y almacenamiento vectorial.</w:t>
            </w:r>
          </w:p>
        </w:tc>
        <w:tc>
          <w:tcPr>
            <w:tcW w:type="dxa" w:w="4335"/>
          </w:tcPr>
          <w:p>
            <w:pPr>
              <w:spacing w:after="60"/>
            </w:pPr>
            <w:r>
              <w:rPr>
                <w:rFonts w:ascii="Arial" w:hAnsi="Arial" w:eastAsia="Arial"/>
                <w:b w:val="0"/>
                <w:i w:val="0"/>
                <w:color w:val="1F1F1F"/>
                <w:sz w:val="18"/>
              </w:rPr>
              <w:t>Modelo entidad-relación; diccionario de datos</w:t>
            </w:r>
          </w:p>
        </w:tc>
      </w:tr>
      <w:tr>
        <w:tc>
          <w:tcPr>
            <w:tcW w:type="dxa" w:w="4335"/>
          </w:tcPr>
          <w:p>
            <w:pPr>
              <w:spacing w:after="60"/>
            </w:pPr>
            <w:r>
              <w:rPr>
                <w:rFonts w:ascii="Arial" w:hAnsi="Arial" w:eastAsia="Arial"/>
                <w:b w:val="0"/>
                <w:i w:val="0"/>
                <w:color w:val="1F1F1F"/>
                <w:sz w:val="18"/>
              </w:rPr>
              <w:t>3.2 Implementa modelos de datos</w:t>
            </w:r>
          </w:p>
        </w:tc>
        <w:tc>
          <w:tcPr>
            <w:tcW w:type="dxa" w:w="4335"/>
          </w:tcPr>
          <w:p>
            <w:pPr>
              <w:spacing w:after="60"/>
            </w:pPr>
            <w:r>
              <w:rPr>
                <w:rFonts w:ascii="Arial" w:hAnsi="Arial" w:eastAsia="Arial"/>
                <w:b w:val="0"/>
                <w:i w:val="0"/>
                <w:color w:val="1F1F1F"/>
                <w:sz w:val="18"/>
              </w:rPr>
              <w:t>PostgreSQL 17 + pgvector en Supabase con migraciones Alembic 0001 a 0013.</w:t>
            </w:r>
          </w:p>
        </w:tc>
        <w:tc>
          <w:tcPr>
            <w:tcW w:type="dxa" w:w="4335"/>
          </w:tcPr>
          <w:p>
            <w:pPr>
              <w:spacing w:after="60"/>
            </w:pPr>
            <w:r>
              <w:rPr>
                <w:rFonts w:ascii="Arial" w:hAnsi="Arial" w:eastAsia="Arial"/>
                <w:b w:val="0"/>
                <w:i w:val="0"/>
                <w:color w:val="1F1F1F"/>
                <w:sz w:val="18"/>
              </w:rPr>
              <w:t>Esquema SQL; migraciones</w:t>
            </w:r>
          </w:p>
        </w:tc>
      </w:tr>
      <w:tr>
        <w:tc>
          <w:tcPr>
            <w:tcW w:type="dxa" w:w="4335"/>
          </w:tcPr>
          <w:p>
            <w:pPr>
              <w:spacing w:after="60"/>
            </w:pPr>
            <w:r>
              <w:rPr>
                <w:rFonts w:ascii="Arial" w:hAnsi="Arial" w:eastAsia="Arial"/>
                <w:b w:val="0"/>
                <w:i w:val="0"/>
                <w:color w:val="1F1F1F"/>
                <w:sz w:val="18"/>
              </w:rPr>
              <w:t>4.1 Construye una solución de software</w:t>
            </w:r>
          </w:p>
        </w:tc>
        <w:tc>
          <w:tcPr>
            <w:tcW w:type="dxa" w:w="4335"/>
          </w:tcPr>
          <w:p>
            <w:pPr>
              <w:spacing w:after="60"/>
            </w:pPr>
            <w:r>
              <w:rPr>
                <w:rFonts w:ascii="Arial" w:hAnsi="Arial" w:eastAsia="Arial"/>
                <w:b w:val="0"/>
                <w:i w:val="0"/>
                <w:color w:val="1F1F1F"/>
                <w:sz w:val="18"/>
              </w:rPr>
              <w:t>Frontend React y API FastAPI con motor LangGraph de 7 pasos.</w:t>
            </w:r>
          </w:p>
        </w:tc>
        <w:tc>
          <w:tcPr>
            <w:tcW w:type="dxa" w:w="4335"/>
          </w:tcPr>
          <w:p>
            <w:pPr>
              <w:spacing w:after="60"/>
            </w:pPr>
            <w:r>
              <w:rPr>
                <w:rFonts w:ascii="Arial" w:hAnsi="Arial" w:eastAsia="Arial"/>
                <w:b w:val="0"/>
                <w:i w:val="0"/>
                <w:color w:val="1F1F1F"/>
                <w:sz w:val="18"/>
              </w:rPr>
              <w:t>Repositorio; capturas</w:t>
            </w:r>
          </w:p>
        </w:tc>
      </w:tr>
      <w:tr>
        <w:tc>
          <w:tcPr>
            <w:tcW w:type="dxa" w:w="4335"/>
          </w:tcPr>
          <w:p>
            <w:pPr>
              <w:spacing w:after="60"/>
            </w:pPr>
            <w:r>
              <w:rPr>
                <w:rFonts w:ascii="Arial" w:hAnsi="Arial" w:eastAsia="Arial"/>
                <w:b w:val="0"/>
                <w:i w:val="0"/>
                <w:color w:val="1F1F1F"/>
                <w:sz w:val="18"/>
              </w:rPr>
              <w:t>4.2 Integra componentes</w:t>
            </w:r>
          </w:p>
        </w:tc>
        <w:tc>
          <w:tcPr>
            <w:tcW w:type="dxa" w:w="4335"/>
          </w:tcPr>
          <w:p>
            <w:pPr>
              <w:spacing w:after="60"/>
            </w:pPr>
            <w:r>
              <w:rPr>
                <w:rFonts w:ascii="Arial" w:hAnsi="Arial" w:eastAsia="Arial"/>
                <w:b w:val="0"/>
                <w:i w:val="0"/>
                <w:color w:val="1F1F1F"/>
                <w:sz w:val="18"/>
              </w:rPr>
              <w:t>Modelo de lenguaje, escaneo de sitios, base vectorial, autenticación y frontend.</w:t>
            </w:r>
          </w:p>
        </w:tc>
        <w:tc>
          <w:tcPr>
            <w:tcW w:type="dxa" w:w="4335"/>
          </w:tcPr>
          <w:p>
            <w:pPr>
              <w:spacing w:after="60"/>
            </w:pPr>
            <w:r>
              <w:rPr>
                <w:rFonts w:ascii="Arial" w:hAnsi="Arial" w:eastAsia="Arial"/>
                <w:b w:val="0"/>
                <w:i w:val="0"/>
                <w:color w:val="1F1F1F"/>
                <w:sz w:val="18"/>
              </w:rPr>
              <w:t>Diagrama de despliegue</w:t>
            </w:r>
          </w:p>
        </w:tc>
      </w:tr>
      <w:tr>
        <w:tc>
          <w:tcPr>
            <w:tcW w:type="dxa" w:w="4335"/>
          </w:tcPr>
          <w:p>
            <w:pPr>
              <w:spacing w:after="60"/>
            </w:pPr>
            <w:r>
              <w:rPr>
                <w:rFonts w:ascii="Arial" w:hAnsi="Arial" w:eastAsia="Arial"/>
                <w:b w:val="0"/>
                <w:i w:val="0"/>
                <w:color w:val="1F1F1F"/>
                <w:sz w:val="18"/>
              </w:rPr>
              <w:t>4.3 Implanta una solución de software</w:t>
            </w:r>
          </w:p>
        </w:tc>
        <w:tc>
          <w:tcPr>
            <w:tcW w:type="dxa" w:w="4335"/>
          </w:tcPr>
          <w:p>
            <w:pPr>
              <w:spacing w:after="60"/>
            </w:pPr>
            <w:r>
              <w:rPr>
                <w:rFonts w:ascii="Arial" w:hAnsi="Arial" w:eastAsia="Arial"/>
                <w:b w:val="0"/>
                <w:i w:val="0"/>
                <w:color w:val="1F1F1F"/>
                <w:sz w:val="18"/>
              </w:rPr>
              <w:t>Despliegue en Vercel + Supabase con despliegue automático desde main.</w:t>
            </w:r>
          </w:p>
        </w:tc>
        <w:tc>
          <w:tcPr>
            <w:tcW w:type="dxa" w:w="4335"/>
          </w:tcPr>
          <w:p>
            <w:pPr>
              <w:spacing w:after="60"/>
            </w:pPr>
            <w:r>
              <w:rPr>
                <w:rFonts w:ascii="Arial" w:hAnsi="Arial" w:eastAsia="Arial"/>
                <w:b w:val="0"/>
                <w:i w:val="0"/>
                <w:color w:val="1F1F1F"/>
                <w:sz w:val="18"/>
              </w:rPr>
              <w:t>Producción; capturas</w:t>
            </w:r>
          </w:p>
        </w:tc>
      </w:tr>
    </w:tbl>
    <w:p>
      <w:pPr>
        <w:spacing w:before="240" w:after="120" w:line="360" w:lineRule="auto"/>
      </w:pPr>
      <w:r>
        <w:rPr>
          <w:rFonts w:ascii="Arial" w:hAnsi="Arial" w:eastAsia="Arial"/>
          <w:b/>
          <w:i w:val="0"/>
          <w:color w:val="1F3864"/>
          <w:sz w:val="28"/>
        </w:rPr>
        <w:t>6. Individual conclusions</w:t>
      </w:r>
    </w:p>
    <w:p>
      <w:pPr>
        <w:spacing w:before="240" w:after="120" w:line="360" w:lineRule="auto"/>
      </w:pPr>
      <w:r>
        <w:rPr>
          <w:rFonts w:ascii="Arial" w:hAnsi="Arial" w:eastAsia="Arial"/>
          <w:b/>
          <w:i w:val="0"/>
          <w:color w:val="1F3864"/>
          <w:sz w:val="24"/>
        </w:rPr>
        <w:t>6.1 Exequiel Alvarado</w:t>
      </w:r>
    </w:p>
    <w:p>
      <w:pPr>
        <w:spacing w:before="0" w:after="120" w:line="360" w:lineRule="auto"/>
      </w:pPr>
      <w:r>
        <w:rPr>
          <w:rFonts w:ascii="Arial" w:hAnsi="Arial" w:eastAsia="Arial"/>
          <w:b w:val="0"/>
          <w:i w:val="0"/>
          <w:color w:val="1F1F1F"/>
          <w:sz w:val="22"/>
        </w:rPr>
        <w:t>This phase taught me that a system in production is only as good as its weakest safeguard. Two real defects shaped my work: the vector index was skipping the best match, and the answer verifier silently approved answers when the provider was rate-limited. Fixing both, with tests that reproduce the failure, was more valuable than adding features. My next goal is to delegate earlier and keep Jira aligned with the code.</w:t>
      </w:r>
    </w:p>
    <w:p>
      <w:pPr>
        <w:spacing w:before="240" w:after="120" w:line="360" w:lineRule="auto"/>
      </w:pPr>
      <w:r>
        <w:rPr>
          <w:rFonts w:ascii="Arial" w:hAnsi="Arial" w:eastAsia="Arial"/>
          <w:b/>
          <w:i w:val="0"/>
          <w:color w:val="1F3864"/>
          <w:sz w:val="24"/>
        </w:rPr>
        <w:t>6.2 Diana Guerrero</w:t>
      </w:r>
    </w:p>
    <w:p>
      <w:pPr>
        <w:spacing w:before="0" w:after="120" w:line="360" w:lineRule="auto"/>
      </w:pPr>
      <w:r>
        <w:rPr>
          <w:rFonts w:ascii="Arial" w:hAnsi="Arial" w:eastAsia="Arial"/>
          <w:b w:val="0"/>
          <w:i w:val="0"/>
          <w:color w:val="1F1F1F"/>
          <w:sz w:val="22"/>
        </w:rPr>
        <w:t>Turning the client's document into user stories gave the team a shared plan, and the instructor's feedback confirmed that planning must be grounded in those stories. My main lesson is that a board is only useful if it reflects reality: several finished stories still look in progress. My goal for the next weeks is to keep Jira in sync with every merged pull request.</w:t>
      </w:r>
    </w:p>
    <w:p>
      <w:pPr>
        <w:spacing w:before="240" w:after="120" w:line="360" w:lineRule="auto"/>
      </w:pPr>
      <w:r>
        <w:rPr>
          <w:rFonts w:ascii="Arial" w:hAnsi="Arial" w:eastAsia="Arial"/>
          <w:b/>
          <w:i w:val="0"/>
          <w:color w:val="1F3864"/>
          <w:sz w:val="24"/>
        </w:rPr>
        <w:t>6.3 Manuel Jansen</w:t>
      </w:r>
    </w:p>
    <w:p>
      <w:pPr>
        <w:spacing w:before="0" w:after="120" w:line="360" w:lineRule="auto"/>
      </w:pPr>
      <w:r>
        <w:rPr>
          <w:rFonts w:ascii="Arial" w:hAnsi="Arial" w:eastAsia="Arial"/>
          <w:b w:val="0"/>
          <w:i w:val="0"/>
          <w:color w:val="1F1F1F"/>
          <w:sz w:val="22"/>
        </w:rPr>
        <w:t>Delivering company deactivation end to end, from the data model to the interface, showed me how a small feature touches every layer. I also learned to keep each pull request focused on its story: an unrelated dependency upgrade broke the installation and had to be reverted. Next, I will open smaller and more frequent pull requests.</w:t>
      </w:r>
    </w:p>
    <w:p>
      <w:pPr>
        <w:spacing w:before="240" w:after="120" w:line="360" w:lineRule="auto"/>
      </w:pPr>
      <w:r>
        <w:rPr>
          <w:rFonts w:ascii="Arial" w:hAnsi="Arial" w:eastAsia="Arial"/>
          <w:b/>
          <w:i w:val="0"/>
          <w:color w:val="1F3864"/>
          <w:sz w:val="24"/>
        </w:rPr>
        <w:t>6.4 Cristian Jorquera</w:t>
      </w:r>
    </w:p>
    <w:p>
      <w:pPr>
        <w:spacing w:before="0" w:after="120" w:line="360" w:lineRule="auto"/>
      </w:pPr>
      <w:r>
        <w:rPr>
          <w:rFonts w:ascii="Arial" w:hAnsi="Arial" w:eastAsia="Arial"/>
          <w:b w:val="0"/>
          <w:i w:val="0"/>
          <w:color w:val="1F1F1F"/>
          <w:sz w:val="22"/>
        </w:rPr>
        <w:t>Writing tests from the user stories proved its value: the tests found real defects before they reached production, and they now run on every change. My pending goal is to measure answer quality with an annotated question bank and a confusion matrix, so that quality becomes a number and not an impression.</w:t>
      </w:r>
    </w:p>
    <w:p>
      <w:pPr>
        <w:spacing w:before="240" w:after="120" w:line="360" w:lineRule="auto"/>
      </w:pPr>
      <w:r>
        <w:rPr>
          <w:rFonts w:ascii="Arial" w:hAnsi="Arial" w:eastAsia="Arial"/>
          <w:b/>
          <w:i w:val="0"/>
          <w:color w:val="1F3864"/>
          <w:sz w:val="28"/>
        </w:rPr>
        <w:t>7. Reflection</w:t>
      </w:r>
    </w:p>
    <w:p>
      <w:pPr>
        <w:spacing w:before="0" w:after="120" w:line="360" w:lineRule="auto"/>
      </w:pPr>
      <w:r>
        <w:rPr>
          <w:rFonts w:ascii="Arial" w:hAnsi="Arial" w:eastAsia="Arial"/>
          <w:b w:val="0"/>
          <w:i w:val="0"/>
          <w:color w:val="1F1F1F"/>
          <w:sz w:val="22"/>
        </w:rPr>
        <w:t>Looking back at this phase, the biggest change was not technical but methodological. Receiving a system already built forced us to verify before building, and that habit—tests, pull requests, written decisions—is what allowed us to fix real problems quickly once the platform was in production. The weak point is still the distribution of development work, which depends too much on one person. For the final phase we will rebalance responsibilities: quality measurement for QA, Jira and screens for coordination and design, and deployment and the engine for development.</w:t>
      </w:r>
    </w:p>
    <w:p>
      <w:pPr>
        <w:spacing w:before="240" w:after="120" w:line="360" w:lineRule="auto"/>
      </w:pPr>
      <w:r>
        <w:rPr>
          <w:rFonts w:ascii="Arial" w:hAnsi="Arial" w:eastAsia="Arial"/>
          <w:b/>
          <w:i w:val="0"/>
          <w:color w:val="1F3864"/>
          <w:sz w:val="28"/>
        </w:rPr>
        <w:t>8. Referencias</w:t>
      </w:r>
    </w:p>
    <w:p>
      <w:pPr>
        <w:spacing w:before="0" w:after="120" w:line="360" w:lineRule="auto"/>
      </w:pPr>
      <w:r>
        <w:rPr>
          <w:rFonts w:ascii="Arial" w:hAnsi="Arial" w:eastAsia="Arial"/>
          <w:b w:val="0"/>
          <w:i w:val="0"/>
          <w:color w:val="1F1F1F"/>
          <w:sz w:val="20"/>
        </w:rPr>
        <w:t>Alloxentric. (2026). Chatbot de Soporte Genérico: documento funcional v2.0 [Documento interno].</w:t>
      </w:r>
    </w:p>
    <w:p>
      <w:pPr>
        <w:spacing w:before="0" w:after="120" w:line="360" w:lineRule="auto"/>
      </w:pPr>
      <w:r>
        <w:rPr>
          <w:rFonts w:ascii="Arial" w:hAnsi="Arial" w:eastAsia="Arial"/>
          <w:b w:val="0"/>
          <w:i w:val="0"/>
          <w:color w:val="1F1F1F"/>
          <w:sz w:val="20"/>
        </w:rPr>
        <w:t>LangChain. (2026). LangGraph documentation. https://langchain-ai.github.io/langgraph/</w:t>
      </w:r>
    </w:p>
    <w:p>
      <w:pPr>
        <w:spacing w:before="0" w:after="120" w:line="360" w:lineRule="auto"/>
      </w:pPr>
      <w:r>
        <w:rPr>
          <w:rFonts w:ascii="Arial" w:hAnsi="Arial" w:eastAsia="Arial"/>
          <w:b w:val="0"/>
          <w:i w:val="0"/>
          <w:color w:val="1F1F1F"/>
          <w:sz w:val="20"/>
        </w:rPr>
        <w:t>pgvector. (2026). Open-source vector similarity search for Postgres. https://github.com/pgvector/pgvector</w:t>
      </w:r>
    </w:p>
    <w:p>
      <w:pPr>
        <w:spacing w:before="0" w:after="120" w:line="360" w:lineRule="auto"/>
      </w:pPr>
      <w:r>
        <w:rPr>
          <w:rFonts w:ascii="Arial" w:hAnsi="Arial" w:eastAsia="Arial"/>
          <w:b w:val="0"/>
          <w:i w:val="0"/>
          <w:color w:val="1F1F1F"/>
          <w:sz w:val="20"/>
        </w:rPr>
        <w:t>Schwaber, K., y Sutherland, J. (2020). La Guía de Scrum. https://scrumguides.org</w:t>
      </w:r>
    </w:p>
    <w:p>
      <w:pPr>
        <w:spacing w:before="0" w:after="120" w:line="360" w:lineRule="auto"/>
      </w:pPr>
      <w:r>
        <w:rPr>
          <w:rFonts w:ascii="Arial" w:hAnsi="Arial" w:eastAsia="Arial"/>
          <w:b w:val="0"/>
          <w:i w:val="0"/>
          <w:color w:val="1F1F1F"/>
          <w:sz w:val="20"/>
        </w:rPr>
        <w:t>Lewis, P., et al. (2020). Retrieval-augmented generation for knowledge-intensive NLP tasks. Advances in Neural Information Processing Systems, 33.</w:t>
      </w:r>
    </w:p>
    <w:p>
      <w:r>
        <w:br w:type="page"/>
      </w:r>
    </w:p>
    <w:p>
      <w:pPr>
        <w:spacing w:before="240" w:after="120" w:line="360" w:lineRule="auto"/>
      </w:pPr>
      <w:r>
        <w:rPr>
          <w:rFonts w:ascii="Arial" w:hAnsi="Arial" w:eastAsia="Arial"/>
          <w:b/>
          <w:i w:val="0"/>
          <w:color w:val="1F3864"/>
          <w:sz w:val="28"/>
        </w:rPr>
        <w:t>Anexo A. Pauta de evaluación de la asignatura</w:t>
      </w:r>
    </w:p>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9ke36auu7cnt"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