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Fecha: 16 de octubre de 2026</w:t>
      </w:r>
    </w:p>
    <w:p>
      <w:pPr>
        <w:spacing w:after="0"/>
      </w:pPr>
      <w:r>
        <w:rPr>
          <w:rFonts w:ascii="Arial" w:hAnsi="Arial" w:eastAsia="Arial"/>
          <w:b w:val="0"/>
          <w:i w:val="0"/>
          <w:color w:val="1F1F1F"/>
          <w:sz w:val="20"/>
        </w:rPr>
        <w:t>Proyecto APT: Chatbot de Soporte Genérico Alloxentric · Grupo 2</w:t>
      </w:r>
    </w:p>
    <w:p>
      <w:pPr>
        <w:spacing w:after="0"/>
      </w:pPr>
      <w:r>
        <w:rPr>
          <w:rFonts w:ascii="Arial" w:hAnsi="Arial" w:eastAsia="Arial"/>
          <w:b w:val="0"/>
          <w:i w:val="0"/>
          <w:color w:val="1F1F1F"/>
          <w:sz w:val="20"/>
        </w:rPr>
        <w:t>Rol en el proyecto: Aseguramiento de calidad, historias de usuario y pruebas</w:t>
      </w:r>
    </w:p>
    <w:p>
      <w:pPr>
        <w:spacing w:after="0"/>
      </w:pPr>
      <w:r>
        <w:rPr>
          <w:rFonts w:ascii="Arial" w:hAnsi="Arial" w:eastAsia="Arial"/>
          <w:b/>
          <w:i w:val="0"/>
          <w:color w:val="1F1F1F"/>
          <w:sz w:val="20"/>
        </w:rPr>
        <w:t>Nombre: Cristian Jorquera</w:t>
      </w:r>
    </w:p>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Cumplí la parte de pruebas que tenía en el sprint 3: pruebas de cierre de sesión (SCRUM-79), del chat público y su límite de mensajes, de derivación con y sin ejecutivos disponibles (SCRUM-35) y del alta de ejecutivos (SCRUM-137), en los PR #15 a #19. Esas pruebas encontraron fallas reales que se corrigieron en el PR #20. Quedan en curso historias de derivación y tickets (SCRUM-35, SCRUM-59 y SCRUM-137) y no he iniciado el banco de preguntas anotado, que está planificado para la semana 14. Facilitó tener historias de usuario claras para derivar los casos de prueba; dificultó que el chat en vivo no funcione en el despliegue de Vercel.</w:t>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Voy a cerrar las historias de derivación probando contra el entorno local, donde el chat en vivo funciona, y dejar documentado qué cubre cada prueba. Para el banco de preguntas voy a partir de las preguntas frecuentes reales de las empresas y de las mallas de Duoc UC, que ya tienen respuesta conocida, para medir si el pasaje correcto llega entre los cinco primeros.</w:t>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Destaco que las pruebas que escribí evitaron que fallas llegaran a producción y ahora corren en cada cambio, también en PostgreSQL. Debo mejorar en mover a Jira el estado real de mis tareas y en ordenar las pruebas repetidas (SCRUM-176).</w:t>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Me gustaría preguntar qué nivel de medición espera el docente para la calidad de las respuestas: si basta con el porcentaje de aciertos sobre un banco de preguntas o si espera también una matriz de confusión del clasificador técnico/comercial.</w:t>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Sí. Propongo quedarme con el banco de preguntas y la matriz de confusión, que es trabajo de QA, para que Exequiel no cargue también con la medición. Como actividad nueva hay que sumar pruebas de las respuestas del bot con datos concretos (teléfonos, montos, enlaces), que hoy revisa la comprobación nueva del motor.</w:t>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vcydd1vppnae"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p>
            <w:pPr>
              <w:spacing w:before="80"/>
            </w:pPr>
            <w:r>
              <w:rPr>
                <w:rFonts w:ascii="Arial" w:hAnsi="Arial" w:eastAsia="Arial"/>
                <w:b w:val="0"/>
                <w:i w:val="0"/>
                <w:color w:val="1F3864"/>
                <w:sz w:val="22"/>
              </w:rPr>
              <w:t>El grupo trabaja bien y el flujo con pull requests y revisión funciona. Lo positivo es que los errores se encuentran con pruebas y no en la presentación. Hay que mejorar en repartir el desarrollo y en avisar antes cuando algo se atrasa.</w:t>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