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EUsk5ZTPLFIsF3KMuAdwt+wDQA==">CgMxLjA4AHIhMTVsU3l0bXVxamJzMHo2cDh1Y2JubktxVUFMWHlYRzRU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