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color w:val="5B5B5B"/>
          <w:sz w:val="28"/>
          <w:szCs w:val="28"/>
        </w:rPr>
        <w:t xml:space="preserve">Proposal</w:t>
      </w:r>
    </w:p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End-to-End Encryption &amp; Hardening for the GIAP Databases</w:t>
      </w:r>
    </w:p>
    <w:p>
      <w:pPr>
        <w:spacing w:after="120"/>
        <w:jc w:val="center"/>
      </w:pPr>
      <w:r>
        <w:rPr>
          <w:i/>
          <w:iCs/>
          <w:color w:val="5B5B5B"/>
          <w:sz w:val="24"/>
          <w:szCs w:val="24"/>
        </w:rPr>
        <w:t xml:space="preserve">Goose In A Pond — On-device privacy for biometric &amp; trust data</w:t>
      </w:r>
    </w:p>
    <w:p>
      <w:pPr>
        <w:spacing w:after="120" w:before="480"/>
        <w:jc w:val="center"/>
      </w:pPr>
      <w:r>
        <w:rPr>
          <w:sz w:val="22"/>
          <w:szCs w:val="22"/>
        </w:rPr>
        <w:t xml:space="preserve">Prepared: 7 May 2026</w:t>
      </w:r>
    </w:p>
    <w:p>
      <w:pPr>
        <w:jc w:val="center"/>
      </w:pPr>
      <w:r>
        <w:rPr>
          <w:sz w:val="22"/>
          <w:szCs w:val="22"/>
        </w:rPr>
        <w:t xml:space="preserve">Author: Emmanuel Oyugi  ·  oyugi@jarida.io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GIAP currently stores two SQLite databases (</w:t>
      </w:r>
      <w:r>
        <w:rPr>
          <w:rFonts w:ascii="Courier New" w:cs="Courier New" w:eastAsia="Courier New" w:hAnsi="Courier New"/>
          <w:sz w:val="20"/>
          <w:szCs w:val="20"/>
        </w:rPr>
        <w:t xml:space="preserve">pond_system.db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pond_logs.db</w:t>
      </w:r>
      <w:r>
        <w:t xml:space="preserve">) unencrypted on disk. These databases hold material that is highly sensitive and, in some cases, </w:t>
      </w:r>
      <w:r>
        <w:rPr>
          <w:b/>
          <w:bCs/>
        </w:rPr>
        <w:t xml:space="preserve">irrevocable</w:t>
      </w:r>
      <w:r>
        <w:t xml:space="preserve"> if leaked: ArcFace face embeddings, upcoming voice-print embeddings, Ed25519 device public keys, hashed pairing codes and session tokens, MCP integration credentials, and household profile data.</w:t>
      </w:r>
    </w:p>
    <w:p>
      <w:pPr>
        <w:spacing w:after="120"/>
      </w:pPr>
      <w:r>
        <w:t xml:space="preserve">This proposal recommends a </w:t>
      </w:r>
      <w:r>
        <w:rPr>
          <w:b/>
          <w:bCs/>
        </w:rPr>
        <w:t xml:space="preserve">layered defence-in-depth encryption strategy</w:t>
      </w:r>
      <w:r>
        <w:t xml:space="preserve"> that protects the system against all four categories of threat the project owner identified: stolen device or disk, backup and sync leakage, multi-user OS access, and live-process attacks. No single mechanism covers all four, so the design combines full-database encryption (SQLCipher), application-layer envelope encryption on the highest-blast-radius columns, OS-native key storage, and process-level memory hygiene.</w:t>
      </w:r>
    </w:p>
    <w:p>
      <w:pPr>
        <w:spacing w:after="120"/>
      </w:pPr>
      <w:r>
        <w:t xml:space="preserve">The proposal is intentionally compatible with the existing biometric trust system (</w:t>
      </w:r>
      <w:r>
        <w:rPr>
          <w:rFonts w:ascii="Courier New" w:cs="Courier New" w:eastAsia="Courier New" w:hAnsi="Courier New"/>
          <w:sz w:val="20"/>
          <w:szCs w:val="20"/>
        </w:rPr>
        <w:t xml:space="preserve">crates/pond-adapters-trust</w:t>
      </w:r>
      <w:r>
        <w:t xml:space="preserve">, migration </w:t>
      </w:r>
      <w:r>
        <w:rPr>
          <w:rFonts w:ascii="Courier New" w:cs="Courier New" w:eastAsia="Courier New" w:hAnsi="Courier New"/>
          <w:sz w:val="20"/>
          <w:szCs w:val="20"/>
        </w:rPr>
        <w:t xml:space="preserve">0016_trust_system.sql</w:t>
      </w:r>
      <w:r>
        <w:t xml:space="preserve">), the upcoming Q2 voice-print and face-recognition pipeline, and the in-development “Goose on the Go” remote biometric authentication branch.</w:t>
      </w:r>
    </w:p>
    <w:p>
      <w:pPr>
        <w:pStyle w:val="Heading1"/>
      </w:pPr>
      <w:r>
        <w:t xml:space="preserve">2. Context &amp; Motivation</w:t>
      </w:r>
    </w:p>
    <w:p>
      <w:pPr>
        <w:pStyle w:val="Heading2"/>
      </w:pPr>
      <w:r>
        <w:t xml:space="preserve">2.1 What is currently at risk</w:t>
      </w:r>
    </w:p>
    <w:p>
      <w:pPr>
        <w:spacing w:after="120"/>
      </w:pPr>
      <w:r>
        <w:rPr>
          <w:b/>
          <w:bCs/>
        </w:rPr>
        <w:t xml:space="preserve">Database files in scope: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pond_system.db</w:t>
      </w:r>
      <w:r>
        <w:t xml:space="preserve"> — sessions, devices, settings, profiles, biometric embeddings, handshake credentials, MCP configs, trust system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pond_logs.db</w:t>
      </w:r>
      <w:r>
        <w:t xml:space="preserve"> — sensor readings, camera events, telemetry, biometric audit log.</w:t>
      </w:r>
    </w:p>
    <w:p>
      <w:pPr>
        <w:spacing w:after="120"/>
      </w:pPr>
      <w:r>
        <w:rPr>
          <w:b/>
          <w:bCs/>
        </w:rPr>
        <w:t xml:space="preserve">Particularly sensitive rows: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Face embeddings</w:t>
      </w:r>
      <w:r>
        <w:t xml:space="preserve"> (ArcFace 512-d float vectors, ~2 KB each) — biometric, irrevocable.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Voice prints</w:t>
      </w:r>
      <w:r>
        <w:t xml:space="preserve"> (x-vector / TDNN 512-d, planned Q2) — biometric, irrevocable.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Device public keys</w:t>
      </w:r>
      <w:r>
        <w:t xml:space="preserve"> (Ed25519, per install_id) plus signed action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Handshake credentials</w:t>
      </w:r>
      <w:r>
        <w:t xml:space="preserve"> — pairing codes (SHA-256 hashed), session tokens, refresh hashes.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Memory fragments</w:t>
      </w:r>
      <w:r>
        <w:t xml:space="preserve"> — searchable conversation memory embeddings.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MCP server configs</w:t>
      </w:r>
      <w:r>
        <w:t xml:space="preserve"> — external integration credentials and tokens.</w:t>
      </w:r>
    </w:p>
    <w:p>
      <w:pPr>
        <w:pStyle w:val="Heading2"/>
      </w:pPr>
      <w:r>
        <w:t xml:space="preserve">2.2 Why "irrevocable" deserves special treatment</w:t>
      </w:r>
    </w:p>
    <w:p>
      <w:pPr>
        <w:spacing w:after="120"/>
      </w:pPr>
      <w:r>
        <w:t xml:space="preserve">Passwords can be rotated; a leaked password hash forces a re-login and is contained. A leaked face or voice embedding cannot be re-issued — the user keeps the same face for life. This asymmetry justifies giving biometric columns an additional layer of encryption beyond the database-wide one, so that compromise of the SQLCipher key alone does not expose biometric data.</w:t>
      </w:r>
    </w:p>
    <w:p>
      <w:pPr>
        <w:pStyle w:val="Heading2"/>
      </w:pPr>
      <w:r>
        <w:t xml:space="preserve">2.3 Threat model (all four vectors are in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Threat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defence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Stolen device / disk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Lost laptop or stolen Jetson; attacker has the .db files but no running process.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Layer 1 (SQLCipher) + Layer 6 (FileVault / LUKS).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Backup &amp; sync leakage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 Machine, iCloud, rsync snapshots, or accidental cloud backup of the .db file.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Layer 1 + Layer 3 (key not in the same backup as the data).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Multi-user OS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 local users or processes on the same host reading DB files.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OS file permissions + Layer 3 (key in user-scoped keychain).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Live-process attacks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Attacker who can attach to the running pond-server (memory dump, ptrace, swap).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Layer 4 (mlock, zeroize, sandboxing) + Layer 2 (separate sub-keys).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Proposed Approach — Defence in Depth</w:t>
      </w:r>
    </w:p>
    <w:p>
      <w:pPr>
        <w:spacing w:after="120"/>
      </w:pPr>
      <w:r>
        <w:t xml:space="preserve">Six independent layers, each defending against threats the others miss. A single layer compromise does not catastrophically expose the most sensitive data.</w:t>
      </w:r>
    </w:p>
    <w:p>
      <w:pPr>
        <w:pStyle w:val="Heading2"/>
      </w:pPr>
      <w:r>
        <w:t xml:space="preserve">Layer 1 — SQLCipher full-database encryption</w:t>
      </w:r>
    </w:p>
    <w:p>
      <w:pPr>
        <w:spacing w:after="120"/>
      </w:pPr>
      <w:r>
        <w:t xml:space="preserve">Replace stock SQLite with SQLCipher transparently via </w:t>
      </w:r>
      <w:r>
        <w:rPr>
          <w:rFonts w:ascii="Courier New" w:cs="Courier New" w:eastAsia="Courier New" w:hAnsi="Courier New"/>
          <w:sz w:val="20"/>
          <w:szCs w:val="20"/>
        </w:rPr>
        <w:t xml:space="preserve">libsqlite3-sys</w:t>
      </w:r>
      <w:r>
        <w:t xml:space="preserve"> with feature </w:t>
      </w:r>
      <w:r>
        <w:rPr>
          <w:rFonts w:ascii="Courier New" w:cs="Courier New" w:eastAsia="Courier New" w:hAnsi="Courier New"/>
          <w:sz w:val="20"/>
          <w:szCs w:val="20"/>
        </w:rPr>
        <w:t xml:space="preserve">bundled-sqlcipher-vendored-openssl</w:t>
      </w:r>
      <w:r>
        <w:t xml:space="preserve">. All existing migrations and queries work unchanged. The encryption key is applied as the very first PRAGMA on every connection: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PRAGMA key = "x'&lt;64-hex&gt;'";   -- raw 256-bit key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PRAGMA cipher_page_size = 4096;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PRAGMA kdf_iter = 256000;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PRAGMA cipher_memory_security = ON;</w:t>
      </w:r>
    </w:p>
    <w:p>
      <w:pPr>
        <w:spacing w:after="120"/>
      </w:pPr>
      <w:r>
        <w:rPr>
          <w:b/>
          <w:bCs/>
        </w:rPr>
        <w:t xml:space="preserve">Why SQLCipher: </w:t>
      </w:r>
      <w:r>
        <w:t xml:space="preserve">industry-standard AES-256-CBC with HMAC-SHA-512 page-level integrity, transparent to the application layer, ships with vendored OpenSSL so cross-compilation to the Jetson Orin remains a single-command build. Performance overhead is in the 5–15% range — well within the budget for an on-device assistant.</w:t>
      </w:r>
    </w:p>
    <w:p>
      <w:pPr>
        <w:pStyle w:val="Heading2"/>
      </w:pPr>
      <w:r>
        <w:t xml:space="preserve">Layer 2 — Application-layer envelope on irrevocable columns</w:t>
      </w:r>
    </w:p>
    <w:p>
      <w:pPr>
        <w:spacing w:after="120"/>
      </w:pPr>
      <w:r>
        <w:t xml:space="preserve">A second AES-256-GCM-SIV envelope (via the </w:t>
      </w:r>
      <w:r>
        <w:rPr>
          <w:rFonts w:ascii="Courier New" w:cs="Courier New" w:eastAsia="Courier New" w:hAnsi="Courier New"/>
          <w:sz w:val="20"/>
          <w:szCs w:val="20"/>
        </w:rPr>
        <w:t xml:space="preserve">aes-gcm-siv</w:t>
      </w:r>
      <w:r>
        <w:t xml:space="preserve"> crate) is applied to the highest-blast-radius columns, keyed by a </w:t>
      </w:r>
      <w:r>
        <w:rPr>
          <w:b/>
          <w:bCs/>
        </w:rPr>
        <w:t xml:space="preserve">separate</w:t>
      </w:r>
      <w:r>
        <w:t xml:space="preserve"> sub-key derived from the master via HKDF-SHA-256 with distinct context strings: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face_embeddings.embedding</w:t>
      </w:r>
      <w:r>
        <w:t xml:space="preserve"> (and the upcoming </w:t>
      </w:r>
      <w:r>
        <w:rPr>
          <w:rFonts w:ascii="Courier New" w:cs="Courier New" w:eastAsia="Courier New" w:hAnsi="Courier New"/>
          <w:sz w:val="20"/>
          <w:szCs w:val="20"/>
        </w:rPr>
        <w:t xml:space="preserve">voice_embeddings.embedding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handshake_sessions.refresh_hash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mcp_servers.config</w:t>
      </w:r>
      <w:r>
        <w:t xml:space="preserve"> (anything containing API tokens)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trust_devices.device_private_key</w:t>
      </w:r>
      <w:r>
        <w:t xml:space="preserve"> if/when added for "Goose on the Go" remote signing</w:t>
      </w:r>
    </w:p>
    <w:p>
      <w:pPr>
        <w:spacing w:after="120"/>
      </w:pPr>
      <w:r>
        <w:rPr>
          <w:b/>
          <w:bCs/>
        </w:rPr>
        <w:t xml:space="preserve">Stored format per row: </w:t>
      </w:r>
      <w:r>
        <w:rPr>
          <w:rFonts w:ascii="Courier New" w:cs="Courier New" w:eastAsia="Courier New" w:hAnsi="Courier New"/>
          <w:sz w:val="20"/>
          <w:szCs w:val="20"/>
        </w:rPr>
        <w:t xml:space="preserve">version(1) || nonce(12) || ciphertext || tag(16)</w:t>
      </w:r>
    </w:p>
    <w:p>
      <w:pPr>
        <w:spacing w:after="120"/>
      </w:pPr>
      <w:r>
        <w:t xml:space="preserve">The AAD includes the row’s stable id, so a stolen blob cannot be replanted under another user’s row. </w:t>
      </w:r>
      <w:r>
        <w:rPr>
          <w:b/>
          <w:bCs/>
        </w:rPr>
        <w:t xml:space="preserve">Effect: </w:t>
      </w:r>
      <w:r>
        <w:t xml:space="preserve">a SQLCipher key compromise alone reveals only metadata for these columns — never the biometric vectors themselves.</w:t>
      </w:r>
    </w:p>
    <w:p>
      <w:pPr>
        <w:pStyle w:val="Heading2"/>
      </w:pPr>
      <w:r>
        <w:t xml:space="preserve">Layer 3 — Key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macOS desktop (Tauri): </w:t>
      </w:r>
      <w:r>
        <w:t xml:space="preserve">master key in the macOS Keychain via the </w:t>
      </w:r>
      <w:r>
        <w:rPr>
          <w:rFonts w:ascii="Courier New" w:cs="Courier New" w:eastAsia="Courier New" w:hAnsi="Courier New"/>
          <w:sz w:val="20"/>
          <w:szCs w:val="20"/>
        </w:rPr>
        <w:t xml:space="preserve">keyring</w:t>
      </w:r>
      <w:r>
        <w:t xml:space="preserve"> crate (service </w:t>
      </w:r>
      <w:r>
        <w:rPr>
          <w:rFonts w:ascii="Courier New" w:cs="Courier New" w:eastAsia="Courier New" w:hAnsi="Courier New"/>
          <w:sz w:val="20"/>
          <w:szCs w:val="20"/>
        </w:rPr>
        <w:t xml:space="preserve">io.giap.pond</w:t>
      </w:r>
      <w:r>
        <w:t xml:space="preserve">, account = data-dir hash). Tauri app fetches it on launch and passes it to </w:t>
      </w:r>
      <w:r>
        <w:rPr>
          <w:rFonts w:ascii="Courier New" w:cs="Courier New" w:eastAsia="Courier New" w:hAnsi="Courier New"/>
          <w:sz w:val="20"/>
          <w:szCs w:val="20"/>
        </w:rPr>
        <w:t xml:space="preserve">pond-server</w:t>
      </w:r>
      <w:r>
        <w:t xml:space="preserve"> over the existing IPC.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Jetson / headless Linux: </w:t>
      </w:r>
      <w:r>
        <w:t xml:space="preserve">master key in </w:t>
      </w:r>
      <w:r>
        <w:rPr>
          <w:rFonts w:ascii="Courier New" w:cs="Courier New" w:eastAsia="Courier New" w:hAnsi="Courier New"/>
          <w:sz w:val="20"/>
          <w:szCs w:val="20"/>
        </w:rPr>
        <w:t xml:space="preserve">$DATA_DIR/.pond.key</w:t>
      </w:r>
      <w:r>
        <w:t xml:space="preserve"> with mode </w:t>
      </w:r>
      <w:r>
        <w:rPr>
          <w:rFonts w:ascii="Courier New" w:cs="Courier New" w:eastAsia="Courier New" w:hAnsi="Courier New"/>
          <w:sz w:val="20"/>
          <w:szCs w:val="20"/>
        </w:rPr>
        <w:t xml:space="preserve">0600</w:t>
      </w:r>
      <w:r>
        <w:t xml:space="preserve">, owned by the pond service user. Override available via </w:t>
      </w:r>
      <w:r>
        <w:rPr>
          <w:rFonts w:ascii="Courier New" w:cs="Courier New" w:eastAsia="Courier New" w:hAnsi="Courier New"/>
          <w:sz w:val="20"/>
          <w:szCs w:val="20"/>
        </w:rPr>
        <w:t xml:space="preserve">POND_DB_KEY</w:t>
      </w:r>
      <w:r>
        <w:t xml:space="preserve"> env var (operator-supplied, e.g. from systemd-creds or a secrets manager). Never logged.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First-run bootstrap: </w:t>
      </w:r>
      <w:r>
        <w:t xml:space="preserve">if no key exists, generate 32 bytes from </w:t>
      </w:r>
      <w:r>
        <w:rPr>
          <w:rFonts w:ascii="Courier New" w:cs="Courier New" w:eastAsia="Courier New" w:hAnsi="Courier New"/>
          <w:sz w:val="20"/>
          <w:szCs w:val="20"/>
        </w:rPr>
        <w:t xml:space="preserve">OsRng</w:t>
      </w:r>
      <w:r>
        <w:t xml:space="preserve">, persist via the platform path, then create the encrypted DBs.</w:t>
      </w:r>
    </w:p>
    <w:p>
      <w:pPr>
        <w:pStyle w:val="Heading2"/>
      </w:pPr>
      <w:r>
        <w:t xml:space="preserve">Layer 4 — In-memory hygiene</w:t>
      </w:r>
    </w:p>
    <w:p>
      <w:pPr>
        <w:spacing w:after="120"/>
      </w:pPr>
      <w:r>
        <w:t xml:space="preserve">Mitigates the live-process / memory-dump threat: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Wrap master key and derived sub-keys in </w:t>
      </w:r>
      <w:r>
        <w:rPr>
          <w:rFonts w:ascii="Courier New" w:cs="Courier New" w:eastAsia="Courier New" w:hAnsi="Courier New"/>
          <w:sz w:val="20"/>
          <w:szCs w:val="20"/>
        </w:rPr>
        <w:t xml:space="preserve">secrecy::SecretBox&lt;[u8; 32]&gt;</w:t>
      </w:r>
      <w:r>
        <w:t xml:space="preserve"> so accidental Debug, log, or panic prints redact the secret.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r>
        <w:rPr>
          <w:rFonts w:ascii="Courier New" w:cs="Courier New" w:eastAsia="Courier New" w:hAnsi="Courier New"/>
          <w:sz w:val="20"/>
          <w:szCs w:val="20"/>
        </w:rPr>
        <w:t xml:space="preserve">zeroize</w:t>
      </w:r>
      <w:r>
        <w:t xml:space="preserve"> on Drop for any buffer that touches plaintext key material or biometric vectors.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mlock</w:t>
      </w:r>
      <w:r>
        <w:t xml:space="preserve"> the key buffer (via </w:t>
      </w:r>
      <w:r>
        <w:rPr>
          <w:rFonts w:ascii="Courier New" w:cs="Courier New" w:eastAsia="Courier New" w:hAnsi="Courier New"/>
          <w:sz w:val="20"/>
          <w:szCs w:val="20"/>
        </w:rPr>
        <w:t xml:space="preserve">region::lock</w:t>
      </w:r>
      <w:r>
        <w:t xml:space="preserve">) so it cannot be paged to swap.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Linux, restrict core dumps for </w:t>
      </w:r>
      <w:r>
        <w:rPr>
          <w:rFonts w:ascii="Courier New" w:cs="Courier New" w:eastAsia="Courier New" w:hAnsi="Courier New"/>
          <w:sz w:val="20"/>
          <w:szCs w:val="20"/>
        </w:rPr>
        <w:t xml:space="preserve">pond-server</w:t>
      </w:r>
      <w:r>
        <w:t xml:space="preserve"> via </w:t>
      </w:r>
      <w:r>
        <w:rPr>
          <w:rFonts w:ascii="Courier New" w:cs="Courier New" w:eastAsia="Courier New" w:hAnsi="Courier New"/>
          <w:sz w:val="20"/>
          <w:szCs w:val="20"/>
        </w:rPr>
        <w:t xml:space="preserve">prctl(PR_SET_DUMPABLE, 0)</w:t>
      </w:r>
      <w:r>
        <w:t xml:space="preserve"> after key 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macOS: enable the App Sandbox + hardened runtime in the Tauri bundle (entitlements only, no new code).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Linux/Jetson systemd unit: </w:t>
      </w:r>
      <w:r>
        <w:rPr>
          <w:rFonts w:ascii="Courier New" w:cs="Courier New" w:eastAsia="Courier New" w:hAnsi="Courier New"/>
          <w:sz w:val="20"/>
          <w:szCs w:val="20"/>
        </w:rPr>
        <w:t xml:space="preserve">MemoryDenyWriteExecute=yes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ProtectSystem=strict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ProtectHome=yes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PrivateTmp=yes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NoNewPrivileges=yes</w:t>
      </w:r>
      <w:r>
        <w:t xml:space="preserve">.</w:t>
      </w:r>
    </w:p>
    <w:p>
      <w:pPr>
        <w:pStyle w:val="Heading2"/>
      </w:pPr>
      <w:r>
        <w:t xml:space="preserve">Layer 5 — “Goose on the Go” remote biometric authentication</w:t>
      </w:r>
    </w:p>
    <w:p>
      <w:pPr>
        <w:spacing w:after="120"/>
      </w:pPr>
      <w:r>
        <w:t xml:space="preserve">Building on the existing trust system (migration 0016) which already provides signed intents, replay nonces, and a privileged audit log, the remote-auth path is hardened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Server-side matching only. </w:t>
      </w:r>
      <w:r>
        <w:t xml:space="preserve">Biometric matching MUST happen on the on-prem pond instance, not in the remote client. The client sends an authenticated capture (signed by its session token) and receives a short-lived (≤ 60 s) signed authorisation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Triple binding. </w:t>
      </w:r>
      <w:r>
        <w:t xml:space="preserve">That token is bound to (a) the specific action ID, (b) the device install_id, and (c) a server-issued nonce — preventing replay across actions or devices.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Reuse handshake transport. </w:t>
      </w:r>
      <w:r>
        <w:t xml:space="preserve">TLS with cert pinning to the pond instance; reuse the existing handshake/session flow rather than introducing a new transport.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Audit everything. </w:t>
      </w:r>
      <w:r>
        <w:t xml:space="preserve">All remote biometric attempts append to </w:t>
      </w:r>
      <w:r>
        <w:rPr>
          <w:rFonts w:ascii="Courier New" w:cs="Courier New" w:eastAsia="Courier New" w:hAnsi="Courier New"/>
          <w:sz w:val="20"/>
          <w:szCs w:val="20"/>
        </w:rPr>
        <w:t xml:space="preserve">biometric_audit_log</w:t>
      </w:r>
      <w:r>
        <w:t xml:space="preserve"> with action ID, IP, and result, regardless of success.</w:t>
      </w:r>
    </w:p>
    <w:p>
      <w:pPr>
        <w:pStyle w:val="Heading2"/>
      </w:pPr>
      <w:r>
        <w:t xml:space="preserve">Layer 6 — Operational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Disk encryption. </w:t>
      </w:r>
      <w:r>
        <w:t xml:space="preserve">Document FileVault (macOS) / LUKS (Jetson) as the recommended outer layer. Cheap; defends swap, hibernate, and accidental full-disk image sharing.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WAL inheritance. </w:t>
      </w:r>
      <w:r>
        <w:t xml:space="preserve">Verify in tests that </w:t>
      </w:r>
      <w:r>
        <w:rPr>
          <w:rFonts w:ascii="Courier New" w:cs="Courier New" w:eastAsia="Courier New" w:hAnsi="Courier New"/>
          <w:sz w:val="20"/>
          <w:szCs w:val="20"/>
        </w:rPr>
        <w:t xml:space="preserve">-wal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-shm</w:t>
      </w:r>
      <w:r>
        <w:t xml:space="preserve"> sidecar files inherit SQLCipher encryption (they do, but we test 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Forget endpoint. </w:t>
      </w:r>
      <w:r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DELETE /api/v1/users/:id/biometrics</w:t>
      </w:r>
      <w:r>
        <w:t xml:space="preserve"> will also rotate the Layer-2 sub-key (re-derive with a new context salt) so deleted vectors are unreadable even if old WAL fragments persist.</w:t>
      </w:r>
    </w:p>
    <w:p>
      <w:r>
        <w:br w:type="page"/>
      </w:r>
    </w:p>
    <w:p>
      <w:pPr>
        <w:pStyle w:val="Heading1"/>
      </w:pPr>
      <w:r>
        <w:t xml:space="preserve">4. Files to Modify or Create</w:t>
      </w:r>
    </w:p>
    <w:p>
      <w:pPr>
        <w:pStyle w:val="Heading2"/>
      </w:pPr>
      <w:r>
        <w:t xml:space="preserve">4.1 Modify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Cargo.toml (workspace)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libsqlite3-sys with bundled-sqlcipher-vendored-openssl; aes-gcm-siv, hkdf, secrecy, zeroize, region, keyring (desktop feature).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crates/pond-infra/src/db.rs (lines 22–49)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Apply SQLCipher PRAGMAs first; accept SecretBox&lt;[u8;32]&gt; key; add verify_encrypted() helper that returns a typed WrongKey error on SQLITE_NOTADB.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crates/pond-server/src/main.rs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 master key (keychain on macOS, file/env on Linux) before Database::init; on first run generate and persist; pass through.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crates/pond-api/src/routes.rs + trust/handshake adapters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Route reads/writes of the four protected columns through the new envelope helpers.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crates/pond-api/src/trust_gate.rs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the Layer-5 token binding (action ID + install_id + nonce) for remote authorisation flows.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pond-desktop/src-tauri (Cargo.toml + a Tauri command)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Expose get_or_create_db_key() that talks to macOS Keychain and hands the key to the spawned pond-server.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Systemd unit / Makefile target for Jetson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the hardening directives (PrivateTmp, ProtectSystem, NoNewPrivileges, etc.).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docs/biometric-trust-system.md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 the layered model, key rotation, and recovery story.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New file / crate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crates/pond-core/src/ports/secret_store.rs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 trait SecretStore { get(name), put(name, secret), delete(name) }. Pure interface, no platform code.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crates/pond-adapters-keystore-macos/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keyring-backed adapter for macOS Keychain.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crates/pond-adapters-keystore-file/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/ env-var adapter for headless Linux (Jetson).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crates/pond-core/src/services/field_crypto.rs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Envelope::seal(plaintext, aad) / open(blob, aad) using AES-256-GCM-SIV + HKDF-derived sub-keys. Pure, testable, no I/O.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crates/pond-infra/src/migrate_to_encrypted.rs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One-shot migrator: detect plaintext DB, copy schema + rows into encrypted DB, atomic rename, delete plaintext, gate on marker file.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crates/pond-infra/migrations/system/0017_envelope_versioning.sql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Adds an envelope_version SMALLINT column to each protected table for future re-key migrations.</w:t>
            </w:r>
          </w:p>
        </w:tc>
      </w:tr>
    </w:tbl>
    <w:p>
      <w:pPr>
        <w:pStyle w:val="Heading1"/>
      </w:pPr>
      <w:r>
        <w:t xml:space="preserve">5. Verification Plan</w:t>
      </w:r>
    </w:p>
    <w:p>
      <w:pPr>
        <w:pStyle w:val="Heading2"/>
      </w:pPr>
      <w:r>
        <w:t xml:space="preserve">5.1 Encryption-at-rest sanity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</w:t>
      </w:r>
      <w:r>
        <w:rPr>
          <w:rFonts w:ascii="Courier New" w:cs="Courier New" w:eastAsia="Courier New" w:hAnsi="Courier New"/>
          <w:sz w:val="20"/>
          <w:szCs w:val="20"/>
        </w:rPr>
        <w:t xml:space="preserve">cargo run -p pond-server -- serve</w:t>
      </w:r>
      <w:r>
        <w:t xml:space="preserve"> once to create encrypted DBs.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sqlite3 pond_system.db ".tables"</w:t>
      </w:r>
      <w:r>
        <w:t xml:space="preserve"> must error “file is not a database”.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sqlcipher pond_system.db</w:t>
      </w:r>
      <w:r>
        <w:t xml:space="preserve"> followed by </w:t>
      </w:r>
      <w:r>
        <w:rPr>
          <w:rFonts w:ascii="Courier New" w:cs="Courier New" w:eastAsia="Courier New" w:hAnsi="Courier New"/>
          <w:sz w:val="20"/>
          <w:szCs w:val="20"/>
        </w:rPr>
        <w:t xml:space="preserve">PRAGMA key=...; .tables</w:t>
      </w:r>
      <w:r>
        <w:t xml:space="preserve"> must succeed.</w:t>
      </w:r>
    </w:p>
    <w:p>
      <w:pPr>
        <w:pStyle w:val="Heading2"/>
      </w:pPr>
      <w:r>
        <w:t xml:space="preserve">5.2 Layer-2 envelope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cargo test -p pond-core field_crypto::</w:t>
      </w:r>
      <w:r>
        <w:t xml:space="preserve"> covers seal/open round-trip, AAD mismatch, wrong-subkey, and forward-compat of the version byte.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test: insert a face embedding, then with the SQLCipher key but a wrong envelope sub-key, verify the embedding column decrypts to noise — never the original vector.</w:t>
      </w:r>
    </w:p>
    <w:p>
      <w:pPr>
        <w:pStyle w:val="Heading2"/>
      </w:pPr>
      <w:r>
        <w:t xml:space="preserve">5.3 Migration from plaintext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 an existing unencrypted pond_system.db in a tmp data-dir, start the server, confirm: encrypted DB exists, plaintext is gone, marker file written, all rows present, app behaves normally.</w:t>
      </w:r>
    </w:p>
    <w:p>
      <w:pPr>
        <w:pStyle w:val="Heading2"/>
      </w:pPr>
      <w:r>
        <w:t xml:space="preserve">5.4 Key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macOS: </w:t>
      </w:r>
      <w:r>
        <w:t xml:space="preserve">delete keychain entry, restart desktop app — app regenerates and re-stores. Confirm </w:t>
      </w:r>
      <w:r>
        <w:rPr>
          <w:rFonts w:ascii="Courier New" w:cs="Courier New" w:eastAsia="Courier New" w:hAnsi="Courier New"/>
          <w:sz w:val="20"/>
          <w:szCs w:val="20"/>
        </w:rPr>
        <w:t xml:space="preserve">security find-generic-password -s io.giap.pond</w:t>
      </w:r>
      <w:r>
        <w:t xml:space="preserve"> returns the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Linux: </w:t>
      </w:r>
      <w:r>
        <w:rPr>
          <w:rFonts w:ascii="Courier New" w:cs="Courier New" w:eastAsia="Courier New" w:hAnsi="Courier New"/>
          <w:sz w:val="20"/>
          <w:szCs w:val="20"/>
        </w:rPr>
        <w:t xml:space="preserve">ls -l $DATA_DIR/.pond.key</w:t>
      </w:r>
      <w:r>
        <w:t xml:space="preserve"> shows mode 0600; setting </w:t>
      </w:r>
      <w:r>
        <w:rPr>
          <w:rFonts w:ascii="Courier New" w:cs="Courier New" w:eastAsia="Courier New" w:hAnsi="Courier New"/>
          <w:sz w:val="20"/>
          <w:szCs w:val="20"/>
        </w:rPr>
        <w:t xml:space="preserve">POND_DB_KEY</w:t>
      </w:r>
      <w:r>
        <w:t xml:space="preserve"> overrides the file.</w:t>
      </w:r>
    </w:p>
    <w:p>
      <w:pPr>
        <w:pStyle w:val="Heading2"/>
      </w:pPr>
      <w:r>
        <w:t xml:space="preserve">5.5 Memory hygiene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cargo test -p pond-core</w:t>
      </w:r>
      <w:r>
        <w:t xml:space="preserve"> covers Drop zeroization for SecretBox.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Manual: SIGABRT the running server, confirm no core dump is written on Linux due to PR_SET_DUMPABLE=0.</w:t>
      </w:r>
    </w:p>
    <w:p>
      <w:pPr>
        <w:pStyle w:val="Heading2"/>
      </w:pPr>
      <w:r>
        <w:t xml:space="preserve">5.6 Cross-compile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SQLX_OFFLINE=true make server</w:t>
      </w:r>
      <w:r>
        <w:t xml:space="preserve"> must succeed in the cross Docker image with bundled OpenSSL (avoids needing libsqlcipher-dev in the image).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cargo build -p pond-server</w:t>
      </w:r>
      <w:r>
        <w:t xml:space="preserve"> on macOS arm64 must succeed.</w:t>
      </w:r>
    </w:p>
    <w:p>
      <w:pPr>
        <w:pStyle w:val="Heading2"/>
      </w:pPr>
      <w:r>
        <w:t xml:space="preserve">5.7 Goose-on-the-Go remote auth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E2E test (mocked): remote client requests a high-risk action; server returns 401 + biometric challenge; client posts a face capture; server returns short-lived signed token; client retries with the token; server verifies binding to action + install_id + nonce. Replay with the same token returns 401.</w:t>
      </w:r>
    </w:p>
    <w:p>
      <w:pPr>
        <w:pStyle w:val="Heading1"/>
      </w:pPr>
      <w:r>
        <w:t xml:space="preserve">6. Out of Scope (Explicit)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HSM / Secure Enclave key sealing. </w:t>
      </w:r>
      <w:r>
        <w:t xml:space="preserve">Possible Q3 follow-up; current plan keeps the key in user-space memory protected by mlock + sandboxing.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Per-row searchable encryption. </w:t>
      </w:r>
      <w:r>
        <w:t xml:space="preserve">Cosine-similarity matching happens after decrypt in-process; biometric tables are small (≤ household size × samples), so a full scan is fine.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Cloud sync of encrypted DBs. </w:t>
      </w:r>
      <w:r>
        <w:t xml:space="preserve">The biometric privacy guarantee is on-device only.</w:t>
      </w:r>
    </w:p>
    <w:p>
      <w:pPr>
        <w:pStyle w:val="Heading1"/>
      </w:pPr>
      <w:r>
        <w:t xml:space="preserve">7. Rollout &amp; Migration Strategy</w:t>
      </w:r>
    </w:p>
    <w:p>
      <w:pPr>
        <w:spacing w:after="120"/>
      </w:pPr>
      <w:r>
        <w:t xml:space="preserve">On the first launch of the new build, the migration helper detects a plaintext </w:t>
      </w:r>
      <w:r>
        <w:rPr>
          <w:rFonts w:ascii="Courier New" w:cs="Courier New" w:eastAsia="Courier New" w:hAnsi="Courier New"/>
          <w:sz w:val="20"/>
          <w:szCs w:val="20"/>
        </w:rPr>
        <w:t xml:space="preserve">pond_system.db</w:t>
      </w:r>
      <w:r>
        <w:t xml:space="preserve"> (open without a key returns rows; otherwise returns </w:t>
      </w:r>
      <w:r>
        <w:rPr>
          <w:rFonts w:ascii="Courier New" w:cs="Courier New" w:eastAsia="Courier New" w:hAnsi="Courier New"/>
          <w:sz w:val="20"/>
          <w:szCs w:val="20"/>
        </w:rPr>
        <w:t xml:space="preserve">SQLITE_NOTADB</w:t>
      </w:r>
      <w:r>
        <w:t xml:space="preserve">), copies all schemas and rows into a new SQLCipher-encrypted DB, atomically renames it into place, fsyncs, and deletes the plaintext file. A marker file </w:t>
      </w:r>
      <w:r>
        <w:rPr>
          <w:rFonts w:ascii="Courier New" w:cs="Courier New" w:eastAsia="Courier New" w:hAnsi="Courier New"/>
          <w:sz w:val="20"/>
          <w:szCs w:val="20"/>
        </w:rPr>
        <w:t xml:space="preserve">.pond.encrypted</w:t>
      </w:r>
      <w:r>
        <w:t xml:space="preserve"> guards the migration so it is idempotent across restarts. The same flow applies to </w:t>
      </w:r>
      <w:r>
        <w:rPr>
          <w:rFonts w:ascii="Courier New" w:cs="Courier New" w:eastAsia="Courier New" w:hAnsi="Courier New"/>
          <w:sz w:val="20"/>
          <w:szCs w:val="20"/>
        </w:rPr>
        <w:t xml:space="preserve">pond_logs.db</w:t>
      </w:r>
      <w:r>
        <w:t xml:space="preserve">.</w:t>
      </w:r>
    </w:p>
    <w:p>
      <w:pPr>
        <w:spacing w:after="120"/>
      </w:pPr>
      <w:r>
        <w:t xml:space="preserve">Because the project is still pre-production for biometrics specifically, an alternative “fresh start — wipe and re-onboard” path remains available; this proposal recommends the migration approach to keep handshake state and existing user profiles intact.</w:t>
      </w:r>
    </w:p>
    <w:p>
      <w:pPr>
        <w:pStyle w:val="Heading1"/>
      </w:pPr>
      <w: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Lost master key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locked out of all data; no recovery.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 FileVault as the practical recovery layer; surface a recovery code at first run that the user records out-of-band.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Cross-compile of bundled OpenSSL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Jetson build fails until Dockerfile updates land.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Vendor OpenSSL via the libsqlite3-sys feature so no system lib is required; CI builds the cross image early.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regression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Slower face-match queries on Jetson.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Benchmark before / after; biometric tables are small so the impact is bounded; tune SQLCipher page size if needed.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Incomplete migration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Partial copy on power loss leaves both files.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Migrate to a temp file, fsync, then atomic rename; only then delete plaintext; idempotent on retry.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Sub-key compromise via memory dump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Layer 2 protection lost; biometrics exposed.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Layer 4 (mlock + sandboxing + dump suppression) makes this non-trivial; rotate sub-key on user delete.</w:t>
            </w:r>
          </w:p>
        </w:tc>
      </w:tr>
    </w:tbl>
    <w:p>
      <w:pPr>
        <w:pStyle w:val="Heading1"/>
      </w:pPr>
      <w:r>
        <w:t xml:space="preserve">9. Recommendation</w:t>
      </w:r>
    </w:p>
    <w:p>
      <w:pPr>
        <w:spacing w:after="120"/>
      </w:pPr>
      <w:r>
        <w:t xml:space="preserve">Adopt all six layers as a single workstream. The foundation work — adding the dependency, threading the key, and applying the PRAGMAs — is small. The Layer-2 envelope is additive and can be turned on column-by-column. The trust system already provides the audit and intent infrastructure that Layer 5 reuses, so remote authentication is a focused integration rather than green-field design.</w:t>
      </w:r>
    </w:p>
    <w:p>
      <w:pPr>
        <w:spacing w:after="120"/>
      </w:pPr>
      <w:r>
        <w:rPr>
          <w:b/>
          <w:bCs/>
        </w:rPr>
        <w:t xml:space="preserve">Net effect: </w:t>
      </w:r>
      <w:r>
        <w:t xml:space="preserve">every database file written to disk after this change is encrypted; biometric vectors carry an additional independent envelope; the master key never lands in a backup-able plaintext file on either supported platform; and live-process attacks are materially harder. No single layer is perfect, but together they cover all four threat categories the project explicitly wants to defend.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7F7F7F"/>
        <w:sz w:val="18"/>
        <w:szCs w:val="18"/>
      </w:rPr>
      <w:t xml:space="preserve">Confidential — Jarida.io</w:t>
    </w:r>
    <w:r>
      <w:rPr>
        <w:sz w:val="18"/>
        <w:szCs w:val="18"/>
      </w:rPr>
      <w:t xml:space="preserve">	</w:t>
    </w: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7F7F"/>
        <w:sz w:val="18"/>
        <w:szCs w:val="18"/>
      </w:rPr>
      <w:t xml:space="preserve">GIAP — Database Encryption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GIAP Database Encryption Proposal</dc:title>
  <dc:creator>Emmanuel Oyugi</dc:creator>
  <dc:description>Defence-in-depth encryption for Goose In A Pond databases</dc:description>
  <cp:lastModifiedBy>Un-named</cp:lastModifiedBy>
  <cp:revision>1</cp:revision>
  <dcterms:created xsi:type="dcterms:W3CDTF">2026-05-07T14:20:23.446Z</dcterms:created>
  <dcterms:modified xsi:type="dcterms:W3CDTF">2026-05-07T14:20:23.446Z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