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109544881fe05b8e3c4a660191298e001f874a"/>
    <w:p>
      <w:pPr>
        <w:pStyle w:val="Heading1"/>
      </w:pPr>
      <w:r>
        <w:t xml:space="preserve">Ubicación de Estaciones de Carga de Autos Eléctricos mediante Algoritmos Genéticos Multiobjetivo</w:t>
      </w:r>
    </w:p>
    <w:p>
      <w:pPr>
        <w:pStyle w:val="FirstParagraph"/>
      </w:pPr>
      <w:r>
        <w:t xml:space="preserve">F.J.A. Maldonado y H. Correa</w:t>
      </w:r>
      <w:r>
        <w:br/>
      </w:r>
      <w:r>
        <w:t xml:space="preserve">Facultad de Ingeniería y Ciencias Hídricas, Universidad Nacional del Litoral</w:t>
      </w:r>
      <w:r>
        <w:br/>
      </w:r>
      <w:r>
        <w:t xml:space="preserve">Instituto de Investigación en Señales, Sistemas e Inteligencia Computacional, UNL-CONICET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Resumen (≈200 palabras)</w:t>
      </w:r>
    </w:p>
    <w:p>
      <w:pPr>
        <w:pStyle w:val="BodyText"/>
      </w:pPr>
      <w:r>
        <w:t xml:space="preserve">La creciente adopción de vehículos eléctricos (VE) exige diseñar redes de recarga eficientes y sostenibles. Este trabajo propone un marco de optimización multiobjetivo para ubicar estaciones de recarga usando un algoritmo evolutivo de ordenamiento no-dominado (NSGA-II). El problema se formula sobre un conjunto de nodos geoespaciales extraídos del fichero</w:t>
      </w:r>
      <w:r>
        <w:t xml:space="preserve"> </w:t>
      </w:r>
      <w:r>
        <w:rPr>
          <w:rStyle w:val="VerbatimChar"/>
        </w:rPr>
        <w:t xml:space="preserve">dataset_final.gpkg</w:t>
      </w:r>
      <w:r>
        <w:t xml:space="preserve">. Los objetivos considerados son: minimizar la proporción de estaciones instaladas, minimizar la máxima distancia de cobertura y maximizar la prioridad de servicio basada en flujo y entorno urbano. Para abordar estos objetivos se define una representación binaria por nodo, funciones de fitness modulares y una configuración reproducible en un notebook basado en</w:t>
      </w:r>
      <w:r>
        <w:t xml:space="preserve"> </w:t>
      </w:r>
      <w:r>
        <w:rPr>
          <w:rStyle w:val="VerbatimChar"/>
        </w:rPr>
        <w:t xml:space="preserve">pymoo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geopandas</w:t>
      </w:r>
      <w:r>
        <w:t xml:space="preserve">.</w:t>
      </w:r>
    </w:p>
    <w:p>
      <w:pPr>
        <w:pStyle w:val="BodyText"/>
      </w:pPr>
      <w:r>
        <w:t xml:space="preserve">Se realizaron experimentos variando parámetros clave como</w:t>
      </w:r>
      <w:r>
        <w:t xml:space="preserve"> </w:t>
      </w:r>
      <w:r>
        <w:rPr>
          <w:rStyle w:val="VerbatimChar"/>
        </w:rPr>
        <w:t xml:space="preserve">d_max</w:t>
      </w:r>
      <w:r>
        <w:t xml:space="preserve">, penalizaciones y tamaño de población. Los resultados se almacenan en</w:t>
      </w:r>
      <w:r>
        <w:t xml:space="preserve"> </w:t>
      </w:r>
      <w:r>
        <w:rPr>
          <w:rStyle w:val="VerbatimChar"/>
        </w:rPr>
        <w:t xml:space="preserve">resultado_nsga2_final.npz</w:t>
      </w:r>
      <w:r>
        <w:t xml:space="preserve"> </w:t>
      </w:r>
      <w:r>
        <w:t xml:space="preserve">y se presentan en forma de frontera de Pareto. La frontera pone en evidencia los trade-offs entre coste (nº de estaciones) y beneficio (cobertura y prioridad). Se discuten limitaciones del enfoque, como la suposición de distancia euclídea y la falta de modelado de costes reales. Se proponen extensiones prácticas: incorporar red vial, costes económicos y demanda temporal. El marco entregado es reproducible y sirve como herramienta de apoyo para la planificación de infraestructura de recarga en distintos entornos (urbano y rural).</w:t>
      </w:r>
    </w:p>
    <w:p>
      <w:r>
        <w:pict>
          <v:rect style="width:0;height:1.5pt" o:hralign="center" o:hrstd="t" o:hr="t"/>
        </w:pict>
      </w:r>
    </w:p>
    <w:bookmarkStart w:id="20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La transición hacia la movilidad eléctrica es una prioridad global por sus beneficios ambientales y de salud. Implementar una red de estaciones de recarga eficiente es clave para facilitar dicha transición. El desafío técnico es diseñar ubicaciones que equilibren costo, cobertura y prioridad de servicio. Los vehículos eléctricos presentan limitaciones de autonomía que hacen crucial la planificación espacial de puntos de recarga. Además, zonas rurales y rutas interurbanas agregan complejidad por las grandes distancias entre nodos.</w:t>
      </w:r>
    </w:p>
    <w:p>
      <w:pPr>
        <w:pStyle w:val="BodyText"/>
      </w:pPr>
      <w:r>
        <w:t xml:space="preserve">Este trabajo investiga una solución basada en algoritmos evolutivos multiobjetivo. Los Algoritmos Genéticos, y en particular NSGA-II, son adecuados para problemas con objetivos conflictivos porque entregan una aproximación de la frontera de Pareto y preservan diversidad en la población. En contraste con estudios previos, aquí se presta atención tanto a entornos urbanos como a entornos de mayor escala espacial, donde las distancias y la dispersión de la demanda son notables.</w:t>
      </w:r>
    </w:p>
    <w:p>
      <w:pPr>
        <w:pStyle w:val="BodyText"/>
      </w:pPr>
      <w:r>
        <w:t xml:space="preserve">El objetivo práctico es proveer un procedimiento reproducible para generar alternativas de diseño (soluciones no dominadas) que faciliten la toma de decisiones de planificadores y operadores. El enfoque se apoya en datos espaciales (archivo</w:t>
      </w:r>
      <w:r>
        <w:t xml:space="preserve"> </w:t>
      </w:r>
      <w:r>
        <w:rPr>
          <w:rStyle w:val="VerbatimChar"/>
        </w:rPr>
        <w:t xml:space="preserve">dataset_final.gpkg</w:t>
      </w:r>
      <w:r>
        <w:t xml:space="preserve">) y en una implementación modular en</w:t>
      </w:r>
      <w:r>
        <w:t xml:space="preserve"> </w:t>
      </w:r>
      <w:r>
        <w:rPr>
          <w:rStyle w:val="VerbatimChar"/>
        </w:rPr>
        <w:t xml:space="preserve">resolucion_final_modificable.ipynb</w:t>
      </w:r>
      <w:r>
        <w:t xml:space="preserve">.</w:t>
      </w:r>
    </w:p>
    <w:p>
      <w:pPr>
        <w:pStyle w:val="BodyText"/>
      </w:pPr>
      <w:r>
        <w:t xml:space="preserve">Breve organización del documento: en la Sección 2 se revisan trabajos relacionados; la Sección 3 describe la formulación y el método; la Sección 4 presenta los experimentos y resultados; la Sección 5 discute limitaciones y aplicaciones; la Sección 6 concluye con recomendaciones.</w:t>
      </w:r>
    </w:p>
    <w:p>
      <w:r>
        <w:pict>
          <v:rect style="width:0;height:1.5pt" o:hralign="center" o:hrstd="t" o:hr="t"/>
        </w:pict>
      </w:r>
    </w:p>
    <w:bookmarkEnd w:id="20"/>
    <w:bookmarkStart w:id="21" w:name="X4af5a94fae7fcdc718cb384bd32fd7d312ac126"/>
    <w:p>
      <w:pPr>
        <w:pStyle w:val="Heading2"/>
      </w:pPr>
      <w:r>
        <w:t xml:space="preserve">2. Revisión bibliográfica (selección representativa)</w:t>
      </w:r>
    </w:p>
    <w:p>
      <w:pPr>
        <w:numPr>
          <w:ilvl w:val="0"/>
          <w:numId w:val="1001"/>
        </w:numPr>
      </w:pPr>
      <w:r>
        <w:t xml:space="preserve">Lam, Leung &amp; Chu: presentaron formulaciones del problema de ubicación y discutieron complejidad y soluciones alternativas, incluyendo enfoques exactos y heurísticos. Sus conclusiones muestran que heurísticas mixtas son necesarias en instancias de tamaño real.</w:t>
      </w:r>
    </w:p>
    <w:p>
      <w:pPr>
        <w:numPr>
          <w:ilvl w:val="0"/>
          <w:numId w:val="1001"/>
        </w:numPr>
      </w:pPr>
      <w:r>
        <w:t xml:space="preserve">Liu et al.: aplicaron optimización basada en Particle Swarm Optimization para planificación de estaciones y demuestran mejoras en cobertura bajo restricciones eléctricas.</w:t>
      </w:r>
    </w:p>
    <w:p>
      <w:pPr>
        <w:numPr>
          <w:ilvl w:val="0"/>
          <w:numId w:val="1001"/>
        </w:numPr>
      </w:pPr>
      <w:r>
        <w:t xml:space="preserve">Awasthi et al.: propusieron híbridos GA–PSO para la planificación en sistemas de distribución, mostrando que combinaciones híbridas pueden superar métodos individuales en precisión de solución.</w:t>
      </w:r>
    </w:p>
    <w:p>
      <w:pPr>
        <w:numPr>
          <w:ilvl w:val="0"/>
          <w:numId w:val="1001"/>
        </w:numPr>
      </w:pPr>
      <w:r>
        <w:t xml:space="preserve">Bai et al.: emplearon una variante de NSGA-II con datos de GPS para capturar trayectorias reales y obtener posicionamientos que favorecen patrones reales de desplazamiento.</w:t>
      </w:r>
    </w:p>
    <w:p>
      <w:pPr>
        <w:pStyle w:val="FirstParagraph"/>
      </w:pPr>
      <w:r>
        <w:t xml:space="preserve">Estos trabajos muestran la eficacia de métodos evolutivos y heurísticos para problemas de ubicación. La presente contribución reutiliza el paradigma NSGA-II y lo aplica a datos y restricciones específicas del repositorio del proyecto, con foco en reproducibilidad y análisis de sensibilidad.</w:t>
      </w:r>
    </w:p>
    <w:p>
      <w:r>
        <w:pict>
          <v:rect style="width:0;height:1.5pt" o:hralign="center" o:hrstd="t" o:hr="t"/>
        </w:pict>
      </w:r>
    </w:p>
    <w:bookmarkEnd w:id="21"/>
    <w:bookmarkStart w:id="26" w:name="método-formulación-y-algoritmo"/>
    <w:p>
      <w:pPr>
        <w:pStyle w:val="Heading2"/>
      </w:pPr>
      <w:r>
        <w:t xml:space="preserve">3. Método (Formulación y Algoritmo)</w:t>
      </w:r>
    </w:p>
    <w:bookmarkStart w:id="22" w:name="formulación-del-problema"/>
    <w:p>
      <w:pPr>
        <w:pStyle w:val="Heading3"/>
      </w:pPr>
      <w:r>
        <w:t xml:space="preserve">3.1 Formulación del problema</w:t>
      </w:r>
    </w:p>
    <w:p>
      <w:pPr>
        <w:numPr>
          <w:ilvl w:val="0"/>
          <w:numId w:val="1002"/>
        </w:numPr>
      </w:pPr>
      <w:r>
        <w:t xml:space="preserve">Conjunto de nodos: sea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el número total de nodos representados en</w:t>
      </w:r>
      <w:r>
        <w:t xml:space="preserve"> </w:t>
      </w:r>
      <w:r>
        <w:rPr>
          <w:rStyle w:val="VerbatimChar"/>
        </w:rPr>
        <w:t xml:space="preserve">dataset_final.gpkg</w:t>
      </w:r>
      <w:r>
        <w:t xml:space="preserve">. Cada nodo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tiene coordenadas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y atributos de prioridad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derivados de</w:t>
      </w:r>
      <w:r>
        <w:t xml:space="preserve"> </w:t>
      </w:r>
      <w:r>
        <w:rPr>
          <w:rStyle w:val="VerbatimChar"/>
        </w:rPr>
        <w:t xml:space="preserve">flujo_total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esquinas_en_radio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Variables de decisión: para cada nodo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se define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donde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 la instalación de estación en el nodo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Objetivos: se definen tres objetivos a minimizar (note que la prioridad se invierte para convertirla a minimización):</w:t>
      </w:r>
    </w:p>
    <w:p>
      <w:pPr>
        <w:numPr>
          <w:ilvl w:val="1"/>
          <w:numId w:val="1003"/>
        </w:numPr>
      </w:pPr>
      <w:r>
        <w:t xml:space="preserve">Número relativo de estaciones (coste):</w:t>
      </w:r>
    </w:p>
    <w:p>
      <w:pPr>
        <w:pStyle w:val="BodyText"/>
      </w:pPr>
      <w:r>
        <w:t xml:space="preserve">$$f_1(\mathbf{z}) = lpha rac{\sum_{i} z_i}{N} +     ext{penalización_exceso}$$</w:t>
      </w:r>
    </w:p>
    <w:p>
      <w:pPr>
        <w:numPr>
          <w:ilvl w:val="1"/>
          <w:numId w:val="1003"/>
        </w:numPr>
      </w:pPr>
      <w:r>
        <w:t xml:space="preserve">Cobertura máxima (distancia máxima de cualquier nodo a su estación más cercana):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z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N</m:t>
              </m:r>
            </m:lim>
          </m:limLow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  <m:r>
                <m:rPr>
                  <m:sty m:val="p"/>
                </m:rPr>
                <m:t>: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rPr>
                  <m:sty m:val="p"/>
                </m:rPr>
                <m:t>,</m:t>
              </m:r>
              <m:r>
                <m:t>i</m:t>
              </m:r>
            </m:e>
          </m:d>
        </m:oMath>
      </m:oMathPara>
    </w:p>
    <w:p>
      <w:pPr>
        <w:numPr>
          <w:ilvl w:val="1"/>
          <w:numId w:val="1000"/>
        </w:numPr>
      </w:pPr>
      <w:r>
        <w:t xml:space="preserve">donde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t xml:space="preserve"> </w:t>
      </w:r>
      <w:r>
        <w:t xml:space="preserve">es la distancia euclídea entre nodos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i</m:t>
        </m:r>
      </m:oMath>
      <w:r>
        <w:t xml:space="preserve">. En la implementación se normaliza por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</w:t>
      </w:r>
    </w:p>
    <w:p>
      <w:pPr>
        <w:numPr>
          <w:ilvl w:val="1"/>
          <w:numId w:val="1003"/>
        </w:numPr>
      </w:pPr>
      <w:r>
        <w:t xml:space="preserve">Prioridad invertida (se busca seleccionar estaciones en nodos de alta prioridad):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z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r</m:t>
          </m:r>
          <m:r>
            <m:t>a</m:t>
          </m:r>
          <m:r>
            <m:t>c</m:t>
          </m:r>
          <m:r>
            <m:t>1</m:t>
          </m:r>
          <m:d>
            <m:dPr>
              <m:begChr m:val="|"/>
              <m:endChr m:val="|"/>
              <m:sepChr m:val=""/>
              <m:grow/>
            </m:dPr>
            <m:e>
              <m:r>
                <m:t>S</m:t>
              </m:r>
            </m:e>
          </m:d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i</m:t>
          </m:r>
          <m:r>
            <m:rPr>
              <m:sty m:val="p"/>
            </m:rPr>
            <m:t>: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}</m:t>
          </m:r>
        </m:oMath>
      </m:oMathPara>
    </w:p>
    <w:p>
      <w:pPr>
        <w:numPr>
          <w:ilvl w:val="1"/>
          <w:numId w:val="1000"/>
        </w:numPr>
      </w:pPr>
      <w:r>
        <w:t xml:space="preserve">con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 prioridad normalizada del nodo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Restricciones suaves: se penaliza el exceso de estaciones sobre una proporción máxima permitida</w:t>
      </w:r>
      <w:r>
        <w:t xml:space="preserve"> </w:t>
      </w:r>
      <m:oMath>
        <m:r>
          <m:t>h</m:t>
        </m:r>
        <m:sSub>
          <m:e>
            <m:r>
              <m:t>o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 Las penalizaciones se incorporan a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 a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según diseño experimental.</w:t>
      </w:r>
    </w:p>
    <w:bookmarkEnd w:id="22"/>
    <w:bookmarkStart w:id="23" w:name="cálculo-de-prioridades"/>
    <w:p>
      <w:pPr>
        <w:pStyle w:val="Heading3"/>
      </w:pPr>
      <w:r>
        <w:t xml:space="preserve">3.2 Cálculo de prioridades</w:t>
      </w:r>
    </w:p>
    <w:p>
      <w:pPr>
        <w:pStyle w:val="FirstParagraph"/>
      </w:pPr>
      <w:r>
        <w:t xml:space="preserve">La prioridad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se computa como combinación lineal de atributos normalizados: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r</m:t>
          </m:r>
          <m:r>
            <m:t>a</m:t>
          </m:r>
          <m:r>
            <m:t>c</m:t>
          </m:r>
          <m:r>
            <m:t>f</m:t>
          </m:r>
          <m:r>
            <m:t>l</m:t>
          </m:r>
          <m:r>
            <m:t>u</m:t>
          </m:r>
          <m:r>
            <m:t>j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t>o</m:t>
          </m:r>
          <m:r>
            <m:t>t</m:t>
          </m:r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max</m:t>
          </m:r>
          <m:r>
            <m:t>f</m:t>
          </m:r>
          <m:r>
            <m:t>l</m:t>
          </m:r>
          <m:r>
            <m:t>u</m:t>
          </m:r>
          <m:r>
            <m:t>j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t>o</m:t>
          </m:r>
          <m:r>
            <m:t>t</m:t>
          </m:r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⋅</m:t>
          </m:r>
          <m:r>
            <m:t>r</m:t>
          </m:r>
          <m:r>
            <m:t>a</m:t>
          </m:r>
          <m:r>
            <m:t>c</m:t>
          </m:r>
          <m:r>
            <m:t>e</m:t>
          </m:r>
          <m:r>
            <m:t>s</m:t>
          </m:r>
          <m:r>
            <m:t>q</m:t>
          </m:r>
          <m:r>
            <m:t>u</m:t>
          </m:r>
          <m:r>
            <m:t>i</m:t>
          </m:r>
          <m:r>
            <m:t>n</m:t>
          </m:r>
          <m:r>
            <m:t>a</m:t>
          </m:r>
          <m:sSub>
            <m:e>
              <m:r>
                <m:t>s</m:t>
              </m:r>
            </m:e>
            <m:sub>
              <m:r>
                <m:t>e</m:t>
              </m:r>
            </m:sub>
          </m:sSub>
          <m:sSub>
            <m:e>
              <m:r>
                <m:t>n</m:t>
              </m:r>
            </m:e>
            <m:sub>
              <m:r>
                <m:t>r</m:t>
              </m:r>
            </m:sub>
          </m:sSub>
          <m:r>
            <m:t>a</m:t>
          </m:r>
          <m:r>
            <m:t>d</m:t>
          </m:r>
          <m:r>
            <m:t>i</m:t>
          </m:r>
          <m:sSub>
            <m:e>
              <m:r>
                <m:t>o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max</m:t>
          </m:r>
          <m:r>
            <m:t>e</m:t>
          </m:r>
          <m:r>
            <m:t>s</m:t>
          </m:r>
          <m:r>
            <m:t>q</m:t>
          </m:r>
          <m:r>
            <m:t>u</m:t>
          </m:r>
          <m:r>
            <m:t>i</m:t>
          </m:r>
          <m:r>
            <m:t>n</m:t>
          </m:r>
          <m:r>
            <m:t>a</m:t>
          </m:r>
          <m:sSub>
            <m:e>
              <m:r>
                <m:t>s</m:t>
              </m:r>
            </m:e>
            <m:sub>
              <m:r>
                <m:t>e</m:t>
              </m:r>
            </m:sub>
          </m:sSub>
          <m:sSub>
            <m:e>
              <m:r>
                <m:t>n</m:t>
              </m:r>
            </m:e>
            <m:sub>
              <m:r>
                <m:t>r</m:t>
              </m:r>
            </m:sub>
          </m:sSub>
          <m:r>
            <m:t>a</m:t>
          </m:r>
          <m:r>
            <m:t>d</m:t>
          </m:r>
          <m:r>
            <m:t>i</m:t>
          </m:r>
          <m:r>
            <m:t>o</m:t>
          </m:r>
        </m:oMath>
      </m:oMathPara>
    </w:p>
    <w:p>
      <w:pPr>
        <w:pStyle w:val="FirstParagraph"/>
      </w:pPr>
      <w:r>
        <w:t xml:space="preserve">Con pesos</w:t>
      </w:r>
      <w:r>
        <w:t xml:space="preserve"> </w:t>
      </w:r>
      <m:oMath>
        <m:sSub>
          <m:e>
            <m:r>
              <m:t>w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w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(en la implementación por defecto</w:t>
      </w:r>
      <w:r>
        <w:t xml:space="preserve"> </w:t>
      </w:r>
      <m:oMath>
        <m:sSub>
          <m:e>
            <m:r>
              <m:t>w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0.7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).</w:t>
      </w:r>
    </w:p>
    <w:bookmarkEnd w:id="23"/>
    <w:bookmarkStart w:id="24" w:name="algoritmo-de-solución-nsga-ii"/>
    <w:p>
      <w:pPr>
        <w:pStyle w:val="Heading3"/>
      </w:pPr>
      <w:r>
        <w:t xml:space="preserve">3.3 Algoritmo de solución: NSGA-II</w:t>
      </w:r>
    </w:p>
    <w:p>
      <w:pPr>
        <w:pStyle w:val="FirstParagraph"/>
      </w:pPr>
      <w:r>
        <w:t xml:space="preserve">Se usa la implementación</w:t>
      </w:r>
      <w:r>
        <w:t xml:space="preserve"> </w:t>
      </w:r>
      <w:r>
        <w:rPr>
          <w:rStyle w:val="VerbatimChar"/>
        </w:rPr>
        <w:t xml:space="preserve">NSGA2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pymoo</w:t>
      </w:r>
      <w:r>
        <w:t xml:space="preserve"> </w:t>
      </w:r>
      <w:r>
        <w:t xml:space="preserve">con variables binarias. El flujo general es:</w:t>
      </w:r>
    </w:p>
    <w:p>
      <w:pPr>
        <w:numPr>
          <w:ilvl w:val="0"/>
          <w:numId w:val="1004"/>
        </w:numPr>
        <w:pStyle w:val="Compact"/>
      </w:pPr>
      <w:r>
        <w:t xml:space="preserve">Inicializar población aleatoria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de vectores</w:t>
      </w:r>
      <w:r>
        <w:t xml:space="preserve"> </w:t>
      </w:r>
      <m:oMath>
        <m:r>
          <m:rPr>
            <m:sty m:val="b"/>
          </m:rPr>
          <m:t>z</m:t>
        </m:r>
      </m:oMath>
      <w:r>
        <w:t xml:space="preserve">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Evaluar objetivos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para cada individuo usando las funciones definidas.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Ordenar por dominancia (frentes de Pareto).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Calcular crowding distance en cada frente.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Selección por torneo binario, crossover y mutación.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Generar nueva población y repetir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</m:oMath>
      <w:r>
        <w:t xml:space="preserve"> </w:t>
      </w:r>
      <w:r>
        <w:t xml:space="preserve">generaciones.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Conservar historial y exportar resultados en</w:t>
      </w:r>
      <w:r>
        <w:t xml:space="preserve"> </w:t>
      </w:r>
      <w:r>
        <w:rPr>
          <w:rStyle w:val="VerbatimChar"/>
        </w:rPr>
        <w:t xml:space="preserve">resultado_nsga2_final.npz</w:t>
      </w:r>
      <w:r>
        <w:t xml:space="preserve">.</w:t>
      </w:r>
    </w:p>
    <w:p>
      <w:pPr>
        <w:pStyle w:val="FirstParagraph"/>
      </w:pPr>
      <w:r>
        <w:t xml:space="preserve">Se usan operadores de cruzamiento por torneos y mutación Polinomial estandar. La evaluación de cobertura se acelera mediante estructuras espaciales (se recomienda</w:t>
      </w:r>
      <w:r>
        <w:t xml:space="preserve"> </w:t>
      </w:r>
      <w:r>
        <w:rPr>
          <w:rStyle w:val="VerbatimChar"/>
        </w:rPr>
        <w:t xml:space="preserve">scipy.spatial.cKDTree</w:t>
      </w:r>
      <w:r>
        <w:t xml:space="preserve"> </w:t>
      </w:r>
      <w:r>
        <w:t xml:space="preserve">para consultas eficientes de distancia mínima en implementaciones a gran escala).</w:t>
      </w:r>
    </w:p>
    <w:bookmarkEnd w:id="24"/>
    <w:bookmarkStart w:id="25" w:name="implementación-y-reproducibilidad"/>
    <w:p>
      <w:pPr>
        <w:pStyle w:val="Heading3"/>
      </w:pPr>
      <w:r>
        <w:t xml:space="preserve">3.4 Implementación y reproducibilidad</w:t>
      </w:r>
    </w:p>
    <w:p>
      <w:pPr>
        <w:numPr>
          <w:ilvl w:val="0"/>
          <w:numId w:val="1005"/>
        </w:numPr>
      </w:pPr>
      <w:r>
        <w:t xml:space="preserve">Lenguajes y librerías: Python 3.x,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geopandas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(</w:t>
      </w:r>
      <w:r>
        <w:rPr>
          <w:rStyle w:val="VerbatimChar"/>
        </w:rPr>
        <w:t xml:space="preserve">pairwise_distances</w:t>
      </w:r>
      <w:r>
        <w:t xml:space="preserve"> </w:t>
      </w:r>
      <w:r>
        <w:t xml:space="preserve">para prototipo),</w:t>
      </w:r>
      <w:r>
        <w:t xml:space="preserve"> </w:t>
      </w:r>
      <w:r>
        <w:rPr>
          <w:rStyle w:val="VerbatimChar"/>
        </w:rPr>
        <w:t xml:space="preserve">pymoo</w:t>
      </w:r>
      <w:r>
        <w:t xml:space="preserve"> </w:t>
      </w:r>
      <w:r>
        <w:t xml:space="preserve">para NSGA-II,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plotly</w:t>
      </w:r>
      <w:r>
        <w:t xml:space="preserve"> </w:t>
      </w:r>
      <w:r>
        <w:t xml:space="preserve">para visualización.</w:t>
      </w:r>
    </w:p>
    <w:p>
      <w:pPr>
        <w:numPr>
          <w:ilvl w:val="0"/>
          <w:numId w:val="1005"/>
        </w:numPr>
      </w:pPr>
      <w:r>
        <w:t xml:space="preserve">Notebook principal:</w:t>
      </w:r>
      <w:r>
        <w:t xml:space="preserve"> </w:t>
      </w:r>
      <w:r>
        <w:rPr>
          <w:rStyle w:val="VerbatimChar"/>
        </w:rPr>
        <w:t xml:space="preserve">resolucion_final_modificable.ipynb</w:t>
      </w:r>
      <w:r>
        <w:t xml:space="preserve"> </w:t>
      </w:r>
      <w:r>
        <w:t xml:space="preserve">contiene la implementación, funciones de fitness, clase problema</w:t>
      </w:r>
      <w:r>
        <w:t xml:space="preserve"> </w:t>
      </w:r>
      <w:r>
        <w:rPr>
          <w:rStyle w:val="VerbatimChar"/>
        </w:rPr>
        <w:t xml:space="preserve">EVChargingProblem3F</w:t>
      </w:r>
      <w:r>
        <w:t xml:space="preserve">, ejecución del algoritmo y rutinas de validación.</w:t>
      </w:r>
    </w:p>
    <w:p>
      <w:pPr>
        <w:numPr>
          <w:ilvl w:val="0"/>
          <w:numId w:val="1005"/>
        </w:numPr>
      </w:pPr>
      <w:r>
        <w:t xml:space="preserve">Resultados guardados:</w:t>
      </w:r>
      <w:r>
        <w:t xml:space="preserve"> </w:t>
      </w:r>
      <w:r>
        <w:rPr>
          <w:rStyle w:val="VerbatimChar"/>
        </w:rPr>
        <w:t xml:space="preserve">resultado_nsga2_final.npz</w:t>
      </w:r>
      <w:r>
        <w:t xml:space="preserve"> </w:t>
      </w:r>
      <w:r>
        <w:t xml:space="preserve">contiene matrices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(soluciones) y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(valores objetivo) para reproducibilidad y análisis posterior.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2025-11-19T05:28:26Z</dcterms:created>
  <dcterms:modified xsi:type="dcterms:W3CDTF">2025-11-19T05:28:26Z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