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shd w:val="clear" w:fill="F4F4F4"/>
        </w:rPr>
        <w:t>1. 首先,根据结果给予相应干预，重点关注有体检不合格的孩子，并及时引起校方，家长和孩子的重视；2. 继续口头运动指导，宣传营养知识，引导孩子健康生活习惯；3. 密切关注孩子的营养状况，定期对孩子的消化系统进行卫生检查；4. 继续主动组织有氧健身活动，积极参与比赛，提升孩子的体质；5. 鼓励孩子学习相关的健康知识，提高孩子的自我保健能力；6.及时发现疾病，并及时引起校方、家长、孩子重视，采取必要的治疗措施；7. 长期对孩子进行体格检查，形成健康档案，以便随时关注孩子的身体发展情况。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C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2023-05-09T09:02:17Z</dcterms:created>
  <dc:creator>apple</dc:creator>
  <cp:lastModifiedBy>胖哥</cp:lastModifiedBy>
  <dcterms:modified xsi:type="dcterms:W3CDTF">2023-05-09T09:03:01Z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26AECF24BC8840F8815B64C6654A0930_12</vt:lpwstr>
  </property>
</Properties>
</file>