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9B1" w:rsidRPr="00466EB5" w:rsidRDefault="003069B1" w:rsidP="003069B1">
      <w:pPr>
        <w:pStyle w:val="berschrift2"/>
      </w:pPr>
      <w:bookmarkStart w:id="0" w:name="_Toc260214929"/>
      <w:r w:rsidRPr="00466EB5">
        <w:t>View-Menü</w:t>
      </w:r>
      <w:bookmarkEnd w:id="0"/>
    </w:p>
    <w:p w:rsidR="003069B1" w:rsidRPr="00466EB5" w:rsidRDefault="003069B1" w:rsidP="003069B1">
      <w:pPr>
        <w:pStyle w:val="Standard-BlockCharCharChar"/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820"/>
      </w:tblGrid>
      <w:tr w:rsidR="003069B1" w:rsidRPr="00466EB5" w:rsidTr="00552443">
        <w:tblPrEx>
          <w:tblCellMar>
            <w:top w:w="0" w:type="dxa"/>
            <w:bottom w:w="0" w:type="dxa"/>
          </w:tblCellMar>
        </w:tblPrEx>
        <w:tc>
          <w:tcPr>
            <w:tcW w:w="4606" w:type="dxa"/>
          </w:tcPr>
          <w:p w:rsidR="003069B1" w:rsidRPr="00466EB5" w:rsidRDefault="003069B1" w:rsidP="00552443">
            <w:r>
              <w:rPr>
                <w:noProof/>
              </w:rPr>
              <w:drawing>
                <wp:inline distT="0" distB="0" distL="0" distR="0">
                  <wp:extent cx="2363470" cy="3174365"/>
                  <wp:effectExtent l="0" t="0" r="0" b="6985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470" cy="317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3069B1" w:rsidRPr="00466EB5" w:rsidRDefault="003069B1" w:rsidP="00552443">
            <w:pPr>
              <w:ind w:left="482"/>
            </w:pPr>
          </w:p>
          <w:p w:rsidR="003069B1" w:rsidRPr="00466EB5" w:rsidRDefault="003069B1" w:rsidP="00552443">
            <w:pPr>
              <w:pStyle w:val="Zwischenberschrift"/>
              <w:ind w:left="482"/>
            </w:pPr>
          </w:p>
        </w:tc>
      </w:tr>
    </w:tbl>
    <w:p w:rsidR="003069B1" w:rsidRPr="00466EB5" w:rsidRDefault="003069B1" w:rsidP="003069B1">
      <w:pPr>
        <w:pStyle w:val="Standard-BlockCharCharChar"/>
      </w:pPr>
    </w:p>
    <w:p w:rsidR="003069B1" w:rsidRPr="00466EB5" w:rsidRDefault="003069B1" w:rsidP="003069B1">
      <w:pPr>
        <w:pStyle w:val="berschrift3"/>
      </w:pPr>
      <w:bookmarkStart w:id="1" w:name="_Toc55213856"/>
      <w:bookmarkStart w:id="2" w:name="_Toc69129845"/>
      <w:bookmarkStart w:id="3" w:name="_Toc69129986"/>
      <w:bookmarkStart w:id="4" w:name="_View_&gt;_Show_panels &gt; Keyboard"/>
      <w:bookmarkStart w:id="5" w:name="_Ref108438010"/>
      <w:bookmarkStart w:id="6" w:name="_Ref108438026"/>
      <w:bookmarkStart w:id="7" w:name="_Toc260214930"/>
      <w:bookmarkEnd w:id="4"/>
      <w:r w:rsidRPr="00466EB5">
        <w:t>View </w:t>
      </w:r>
      <w:r>
        <w:t>&gt;</w:t>
      </w:r>
      <w:r w:rsidRPr="00466EB5">
        <w:t> Keyboard</w:t>
      </w:r>
      <w:bookmarkEnd w:id="1"/>
      <w:bookmarkEnd w:id="2"/>
      <w:bookmarkEnd w:id="3"/>
      <w:bookmarkEnd w:id="5"/>
      <w:bookmarkEnd w:id="6"/>
      <w:bookmarkEnd w:id="7"/>
    </w:p>
    <w:p w:rsidR="003069B1" w:rsidRPr="00466EB5" w:rsidRDefault="003069B1" w:rsidP="003069B1">
      <w:pPr>
        <w:pStyle w:val="Standard-BlockCharCharChar"/>
      </w:pPr>
      <w:r w:rsidRPr="00466EB5">
        <w:t xml:space="preserve">Legt fest, ob das Keyboard </w:t>
      </w:r>
      <w:r>
        <w:t xml:space="preserve">(Virtuelle Tastatur, siehe auch Abschnitt III „Panels“) </w:t>
      </w:r>
      <w:r w:rsidRPr="00466EB5">
        <w:t>angezeigt oder ausg</w:t>
      </w:r>
      <w:r w:rsidRPr="00466EB5">
        <w:t>e</w:t>
      </w:r>
      <w:r w:rsidRPr="00466EB5">
        <w:t>blendet wird. Ausblenden lässt sich das Keyboard auch über das Kreuz in der rechten oberen Ecke seines Fen</w:t>
      </w:r>
      <w:r w:rsidRPr="00466EB5">
        <w:t>s</w:t>
      </w:r>
      <w:r w:rsidRPr="00466EB5">
        <w:t>ters.</w:t>
      </w:r>
    </w:p>
    <w:p w:rsidR="003069B1" w:rsidRPr="00466EB5" w:rsidRDefault="003069B1" w:rsidP="003069B1">
      <w:pPr>
        <w:pStyle w:val="Standard-BlockCharCharChar"/>
      </w:pPr>
    </w:p>
    <w:p w:rsidR="003069B1" w:rsidRPr="001B354C" w:rsidRDefault="003069B1" w:rsidP="003069B1">
      <w:pPr>
        <w:pStyle w:val="berschrift3"/>
      </w:pPr>
      <w:bookmarkStart w:id="8" w:name="_Toc55213857"/>
      <w:bookmarkStart w:id="9" w:name="_Toc69129846"/>
      <w:bookmarkStart w:id="10" w:name="_Toc69129987"/>
      <w:bookmarkStart w:id="11" w:name="_View_&gt;_Show_panels &gt;  Link panel"/>
      <w:bookmarkStart w:id="12" w:name="_Ref108438033"/>
      <w:bookmarkStart w:id="13" w:name="_Toc260214931"/>
      <w:bookmarkEnd w:id="11"/>
      <w:r w:rsidRPr="001B354C">
        <w:t>View </w:t>
      </w:r>
      <w:r>
        <w:t>&gt;</w:t>
      </w:r>
      <w:r w:rsidRPr="001B354C">
        <w:t>  Link </w:t>
      </w:r>
      <w:proofErr w:type="spellStart"/>
      <w:r w:rsidRPr="001B354C">
        <w:t>panel</w:t>
      </w:r>
      <w:bookmarkEnd w:id="8"/>
      <w:bookmarkEnd w:id="9"/>
      <w:bookmarkEnd w:id="10"/>
      <w:bookmarkEnd w:id="12"/>
      <w:bookmarkEnd w:id="13"/>
      <w:proofErr w:type="spellEnd"/>
    </w:p>
    <w:p w:rsidR="003069B1" w:rsidRDefault="003069B1" w:rsidP="003069B1">
      <w:pPr>
        <w:pStyle w:val="Standard-BlockCharCharChar"/>
        <w:rPr>
          <w:spacing w:val="-4"/>
        </w:rPr>
      </w:pPr>
      <w:r w:rsidRPr="008C59CE">
        <w:rPr>
          <w:spacing w:val="-4"/>
        </w:rPr>
        <w:t>Legt fest, ob das Panel zum Einrichten von Verknüpfungen (</w:t>
      </w:r>
      <w:r>
        <w:rPr>
          <w:spacing w:val="-4"/>
        </w:rPr>
        <w:t>Verknüpfungswerkzeug</w:t>
      </w:r>
      <w:r w:rsidRPr="008C59CE">
        <w:rPr>
          <w:spacing w:val="-4"/>
        </w:rPr>
        <w:t>) angezeigt oder ausg</w:t>
      </w:r>
      <w:r w:rsidRPr="008C59CE">
        <w:rPr>
          <w:spacing w:val="-4"/>
        </w:rPr>
        <w:t>e</w:t>
      </w:r>
      <w:r w:rsidRPr="008C59CE">
        <w:rPr>
          <w:spacing w:val="-4"/>
        </w:rPr>
        <w:t>blendet wird. Ausblenden lässt sich das Link</w:t>
      </w:r>
      <w:r>
        <w:rPr>
          <w:spacing w:val="-4"/>
        </w:rPr>
        <w:t> </w:t>
      </w:r>
      <w:proofErr w:type="spellStart"/>
      <w:r>
        <w:rPr>
          <w:spacing w:val="-4"/>
        </w:rPr>
        <w:t>p</w:t>
      </w:r>
      <w:r w:rsidRPr="008C59CE">
        <w:rPr>
          <w:spacing w:val="-4"/>
        </w:rPr>
        <w:t>anel</w:t>
      </w:r>
      <w:proofErr w:type="spellEnd"/>
      <w:r w:rsidRPr="008C59CE">
        <w:rPr>
          <w:spacing w:val="-4"/>
        </w:rPr>
        <w:t xml:space="preserve"> auch über das Kreuz in der rechten oberen Ecke seines Fen</w:t>
      </w:r>
      <w:r w:rsidRPr="008C59CE">
        <w:rPr>
          <w:spacing w:val="-4"/>
        </w:rPr>
        <w:t>s</w:t>
      </w:r>
      <w:r w:rsidRPr="008C59CE">
        <w:rPr>
          <w:spacing w:val="-4"/>
        </w:rPr>
        <w:t>ters.</w:t>
      </w:r>
    </w:p>
    <w:p w:rsidR="003069B1" w:rsidRPr="008C59CE" w:rsidRDefault="003069B1" w:rsidP="003069B1">
      <w:pPr>
        <w:pStyle w:val="Standard-BlockCharCharChar"/>
        <w:rPr>
          <w:spacing w:val="-4"/>
        </w:rPr>
      </w:pPr>
    </w:p>
    <w:p w:rsidR="003069B1" w:rsidRPr="00B27872" w:rsidRDefault="003069B1" w:rsidP="003069B1">
      <w:pPr>
        <w:pStyle w:val="berschrift3"/>
      </w:pPr>
      <w:bookmarkStart w:id="14" w:name="_Toc55213858"/>
      <w:bookmarkStart w:id="15" w:name="_Toc69129847"/>
      <w:bookmarkStart w:id="16" w:name="_Toc69129988"/>
      <w:bookmarkStart w:id="17" w:name="_Toc69129848"/>
      <w:bookmarkStart w:id="18" w:name="_Toc69129989"/>
      <w:bookmarkStart w:id="19" w:name="_View_&gt;_Show_panels &gt; Audio/Video pa"/>
      <w:bookmarkStart w:id="20" w:name="_Ref108438042"/>
      <w:bookmarkStart w:id="21" w:name="_Toc260214932"/>
      <w:bookmarkEnd w:id="19"/>
      <w:r w:rsidRPr="00B27872">
        <w:t>View &gt;  Audio/Video </w:t>
      </w:r>
      <w:proofErr w:type="spellStart"/>
      <w:r w:rsidRPr="00B27872">
        <w:t>panel</w:t>
      </w:r>
      <w:bookmarkEnd w:id="17"/>
      <w:bookmarkEnd w:id="18"/>
      <w:bookmarkEnd w:id="20"/>
      <w:bookmarkEnd w:id="21"/>
      <w:proofErr w:type="spellEnd"/>
    </w:p>
    <w:p w:rsidR="003069B1" w:rsidRDefault="003069B1" w:rsidP="003069B1">
      <w:pPr>
        <w:pStyle w:val="Standard-BlockCharCharChar"/>
      </w:pPr>
      <w:r w:rsidRPr="00466EB5">
        <w:t>Legt fest, ob das</w:t>
      </w:r>
      <w:r>
        <w:t xml:space="preserve"> Panel zum Abspielen von Audio- oder Video-Dateien (Audio/Video-Werkzeug, siehe auch Abschnitt VI. „Panels“</w:t>
      </w:r>
      <w:r w:rsidRPr="00466EB5">
        <w:t>) angezeigt oder ausg</w:t>
      </w:r>
      <w:r w:rsidRPr="00466EB5">
        <w:t>e</w:t>
      </w:r>
      <w:r w:rsidRPr="00466EB5">
        <w:t xml:space="preserve">blendet wird. </w:t>
      </w:r>
      <w:r>
        <w:t xml:space="preserve">Ausblenden lässt sich das Audio-/Video </w:t>
      </w:r>
      <w:proofErr w:type="spellStart"/>
      <w:r>
        <w:t>p</w:t>
      </w:r>
      <w:r w:rsidRPr="00466EB5">
        <w:t>anel</w:t>
      </w:r>
      <w:proofErr w:type="spellEnd"/>
      <w:r w:rsidRPr="00466EB5">
        <w:t xml:space="preserve"> auch über das Kreuz in der rechten oberen Ecke se</w:t>
      </w:r>
      <w:r w:rsidRPr="00466EB5">
        <w:t>i</w:t>
      </w:r>
      <w:r w:rsidRPr="00466EB5">
        <w:t>nes Fensters.</w:t>
      </w:r>
    </w:p>
    <w:p w:rsidR="003069B1" w:rsidRPr="00466EB5" w:rsidRDefault="003069B1" w:rsidP="003069B1">
      <w:pPr>
        <w:pStyle w:val="Standard-BlockCharCharChar"/>
      </w:pPr>
    </w:p>
    <w:p w:rsidR="003069B1" w:rsidRPr="003642F4" w:rsidRDefault="003069B1" w:rsidP="003069B1">
      <w:pPr>
        <w:pStyle w:val="berschrift3"/>
      </w:pPr>
      <w:bookmarkStart w:id="22" w:name="_View_&gt;_Show_panels &gt; Praat panel"/>
      <w:bookmarkStart w:id="23" w:name="_Ref108438052"/>
      <w:bookmarkStart w:id="24" w:name="_Toc260214933"/>
      <w:bookmarkEnd w:id="22"/>
      <w:r w:rsidRPr="003642F4">
        <w:t xml:space="preserve">View &gt;  </w:t>
      </w:r>
      <w:proofErr w:type="spellStart"/>
      <w:r w:rsidRPr="003642F4">
        <w:t>Praat</w:t>
      </w:r>
      <w:proofErr w:type="spellEnd"/>
      <w:r w:rsidRPr="003642F4">
        <w:t> </w:t>
      </w:r>
      <w:proofErr w:type="spellStart"/>
      <w:r w:rsidRPr="003642F4">
        <w:t>panel</w:t>
      </w:r>
      <w:bookmarkEnd w:id="23"/>
      <w:bookmarkEnd w:id="24"/>
      <w:proofErr w:type="spellEnd"/>
    </w:p>
    <w:p w:rsidR="003069B1" w:rsidRPr="0006717C" w:rsidRDefault="003069B1" w:rsidP="003069B1">
      <w:pPr>
        <w:pStyle w:val="Standard-BlockCharCharChar"/>
      </w:pPr>
      <w:r>
        <w:t>Legt fest, ob</w:t>
      </w:r>
      <w:r w:rsidRPr="0006717C">
        <w:t xml:space="preserve"> das Panel zur Kommunikation mit </w:t>
      </w:r>
      <w:proofErr w:type="spellStart"/>
      <w:r w:rsidRPr="0006717C">
        <w:t>Praat</w:t>
      </w:r>
      <w:proofErr w:type="spellEnd"/>
      <w:r w:rsidRPr="0006717C">
        <w:t xml:space="preserve"> (</w:t>
      </w:r>
      <w:proofErr w:type="spellStart"/>
      <w:r w:rsidRPr="0006717C">
        <w:t>Praat</w:t>
      </w:r>
      <w:proofErr w:type="spellEnd"/>
      <w:r>
        <w:t>-Werkzeug, siehe auch Abschnitt III „P</w:t>
      </w:r>
      <w:r>
        <w:t>a</w:t>
      </w:r>
      <w:r>
        <w:t>nels“</w:t>
      </w:r>
      <w:r w:rsidRPr="0006717C">
        <w:t xml:space="preserve">) angezeigt oder ausgeblendet wird. </w:t>
      </w:r>
      <w:r>
        <w:t xml:space="preserve">Das </w:t>
      </w:r>
      <w:proofErr w:type="spellStart"/>
      <w:r>
        <w:t>Praat</w:t>
      </w:r>
      <w:proofErr w:type="spellEnd"/>
      <w:r>
        <w:t> </w:t>
      </w:r>
      <w:proofErr w:type="spellStart"/>
      <w:r>
        <w:t>panel</w:t>
      </w:r>
      <w:proofErr w:type="spellEnd"/>
      <w:r>
        <w:t xml:space="preserve"> ist generell nur unter Windows-Systemen ve</w:t>
      </w:r>
      <w:r>
        <w:t>r</w:t>
      </w:r>
      <w:r>
        <w:t>fügbar; der Menü-Eintrag sollte in anderen Systemen daher nicht erscheinen.</w:t>
      </w:r>
    </w:p>
    <w:p w:rsidR="003069B1" w:rsidRDefault="003069B1" w:rsidP="003069B1">
      <w:pPr>
        <w:pStyle w:val="Standard-BlockCharCharChar"/>
      </w:pPr>
    </w:p>
    <w:p w:rsidR="003069B1" w:rsidRPr="003642F4" w:rsidRDefault="003069B1" w:rsidP="003069B1">
      <w:pPr>
        <w:pStyle w:val="berschrift3"/>
      </w:pPr>
      <w:bookmarkStart w:id="25" w:name="_Toc260214934"/>
      <w:r w:rsidRPr="003642F4">
        <w:t xml:space="preserve">View &gt;  </w:t>
      </w:r>
      <w:r>
        <w:t>Annotation</w:t>
      </w:r>
      <w:r w:rsidRPr="003642F4">
        <w:t> </w:t>
      </w:r>
      <w:proofErr w:type="spellStart"/>
      <w:r w:rsidRPr="003642F4">
        <w:t>panel</w:t>
      </w:r>
      <w:bookmarkEnd w:id="25"/>
      <w:proofErr w:type="spellEnd"/>
    </w:p>
    <w:p w:rsidR="003069B1" w:rsidRPr="0006717C" w:rsidRDefault="003069B1" w:rsidP="003069B1">
      <w:pPr>
        <w:pStyle w:val="Standard-BlockCharCharChar"/>
      </w:pPr>
      <w:r>
        <w:t>Legt fest, ob</w:t>
      </w:r>
      <w:r w:rsidRPr="0006717C">
        <w:t xml:space="preserve"> das </w:t>
      </w:r>
      <w:r>
        <w:t>Annotation Panel</w:t>
      </w:r>
      <w:r w:rsidRPr="0006717C">
        <w:t xml:space="preserve"> (</w:t>
      </w:r>
      <w:r>
        <w:t>siehe auch Abschnitt III</w:t>
      </w:r>
      <w:r w:rsidRPr="0006717C">
        <w:t xml:space="preserve">) angezeigt oder ausgeblendet wird. </w:t>
      </w:r>
    </w:p>
    <w:p w:rsidR="003069B1" w:rsidRDefault="003069B1" w:rsidP="003069B1">
      <w:bookmarkStart w:id="26" w:name="_View_&gt;_Show_panels &gt; Segmentation p"/>
      <w:bookmarkStart w:id="27" w:name="_Toc55213859"/>
      <w:bookmarkStart w:id="28" w:name="_Toc69129849"/>
      <w:bookmarkStart w:id="29" w:name="_Toc69129990"/>
      <w:bookmarkStart w:id="30" w:name="_Toc55213855"/>
      <w:bookmarkStart w:id="31" w:name="_Toc69129844"/>
      <w:bookmarkStart w:id="32" w:name="_Toc69129985"/>
      <w:bookmarkStart w:id="33" w:name="_View_&gt;_Show_toolbar"/>
      <w:bookmarkStart w:id="34" w:name="_Ref108438066"/>
      <w:bookmarkEnd w:id="14"/>
      <w:bookmarkEnd w:id="15"/>
      <w:bookmarkEnd w:id="16"/>
      <w:bookmarkEnd w:id="26"/>
      <w:bookmarkEnd w:id="33"/>
    </w:p>
    <w:p w:rsidR="003069B1" w:rsidRPr="003642F4" w:rsidRDefault="003069B1" w:rsidP="003069B1">
      <w:pPr>
        <w:pStyle w:val="berschrift3"/>
      </w:pPr>
      <w:bookmarkStart w:id="35" w:name="_Toc260214935"/>
      <w:r w:rsidRPr="003642F4">
        <w:t xml:space="preserve">View &gt;  </w:t>
      </w:r>
      <w:r>
        <w:t>IPA</w:t>
      </w:r>
      <w:r w:rsidRPr="003642F4">
        <w:t> </w:t>
      </w:r>
      <w:proofErr w:type="spellStart"/>
      <w:r w:rsidRPr="003642F4">
        <w:t>panel</w:t>
      </w:r>
      <w:bookmarkEnd w:id="35"/>
      <w:proofErr w:type="spellEnd"/>
    </w:p>
    <w:p w:rsidR="003069B1" w:rsidRPr="0006717C" w:rsidRDefault="003069B1" w:rsidP="003069B1">
      <w:pPr>
        <w:pStyle w:val="Standard-BlockCharCharChar"/>
      </w:pPr>
      <w:r>
        <w:t>Legt fest, ob</w:t>
      </w:r>
      <w:r w:rsidRPr="0006717C">
        <w:t xml:space="preserve"> das </w:t>
      </w:r>
      <w:r>
        <w:t>IPA Panel</w:t>
      </w:r>
      <w:r w:rsidRPr="0006717C">
        <w:t xml:space="preserve"> (</w:t>
      </w:r>
      <w:r>
        <w:t>siehe auch Abschnitt III</w:t>
      </w:r>
      <w:r w:rsidRPr="0006717C">
        <w:t xml:space="preserve">) angezeigt oder ausgeblendet wird. </w:t>
      </w:r>
    </w:p>
    <w:p w:rsidR="003069B1" w:rsidRDefault="003069B1" w:rsidP="003069B1"/>
    <w:p w:rsidR="003069B1" w:rsidRPr="0070741E" w:rsidRDefault="003069B1" w:rsidP="003069B1">
      <w:pPr>
        <w:pStyle w:val="berschrift3"/>
      </w:pPr>
      <w:bookmarkStart w:id="36" w:name="_Toc260214936"/>
      <w:r w:rsidRPr="0070741E">
        <w:t>View </w:t>
      </w:r>
      <w:r>
        <w:t>&gt;</w:t>
      </w:r>
      <w:r w:rsidRPr="0070741E">
        <w:t> Show </w:t>
      </w:r>
      <w:proofErr w:type="spellStart"/>
      <w:r>
        <w:t>toolbar</w:t>
      </w:r>
      <w:bookmarkEnd w:id="34"/>
      <w:bookmarkEnd w:id="36"/>
      <w:proofErr w:type="spellEnd"/>
    </w:p>
    <w:p w:rsidR="003069B1" w:rsidRDefault="003069B1" w:rsidP="003069B1">
      <w:pPr>
        <w:pStyle w:val="Standard-BlockCharCharChar"/>
      </w:pPr>
      <w:r>
        <w:t>Legt fest, ob die Symbolleiste angezeigt oder ausgeblendet wird.</w:t>
      </w:r>
    </w:p>
    <w:p w:rsidR="003069B1" w:rsidRPr="0006717C" w:rsidRDefault="003069B1" w:rsidP="003069B1">
      <w:pPr>
        <w:pStyle w:val="Standard-BlockCharCharChar"/>
      </w:pPr>
    </w:p>
    <w:p w:rsidR="003069B1" w:rsidRDefault="003069B1" w:rsidP="003069B1">
      <w:pPr>
        <w:pStyle w:val="BildChar"/>
      </w:pPr>
      <w:r>
        <w:rPr>
          <w:noProof/>
        </w:rPr>
        <w:lastRenderedPageBreak/>
        <w:drawing>
          <wp:inline distT="0" distB="0" distL="0" distR="0">
            <wp:extent cx="5934710" cy="189865"/>
            <wp:effectExtent l="0" t="0" r="8890" b="63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9B1" w:rsidRPr="0006717C" w:rsidRDefault="003069B1" w:rsidP="003069B1">
      <w:pPr>
        <w:pStyle w:val="BildChar"/>
      </w:pPr>
    </w:p>
    <w:p w:rsidR="003069B1" w:rsidRPr="0070741E" w:rsidRDefault="003069B1" w:rsidP="003069B1">
      <w:pPr>
        <w:pStyle w:val="berschrift3"/>
      </w:pPr>
      <w:bookmarkStart w:id="37" w:name="_View_&gt;_Show_grid"/>
      <w:bookmarkStart w:id="38" w:name="_Ref108438073"/>
      <w:bookmarkStart w:id="39" w:name="_Toc260214937"/>
      <w:bookmarkEnd w:id="37"/>
      <w:r w:rsidRPr="0070741E">
        <w:t>View </w:t>
      </w:r>
      <w:r>
        <w:t>&gt;</w:t>
      </w:r>
      <w:r w:rsidRPr="0070741E">
        <w:t> Show </w:t>
      </w:r>
      <w:r>
        <w:t xml:space="preserve">large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field</w:t>
      </w:r>
      <w:bookmarkEnd w:id="39"/>
      <w:proofErr w:type="spellEnd"/>
    </w:p>
    <w:p w:rsidR="003069B1" w:rsidRDefault="003069B1" w:rsidP="003069B1">
      <w:pPr>
        <w:pStyle w:val="Standard-BlockCharCharChar"/>
      </w:pPr>
      <w:r>
        <w:t>Legt fest, ob das große Textfeld zur Eingabe und Anzeige von Transkriptionstext angezeigt oder ausg</w:t>
      </w:r>
      <w:r>
        <w:t>e</w:t>
      </w:r>
      <w:r>
        <w:t>blendet wird.</w:t>
      </w:r>
    </w:p>
    <w:p w:rsidR="003069B1" w:rsidRPr="0006717C" w:rsidRDefault="003069B1" w:rsidP="003069B1">
      <w:pPr>
        <w:pStyle w:val="Standard-BlockCharCharChar"/>
      </w:pPr>
    </w:p>
    <w:p w:rsidR="003069B1" w:rsidRPr="00466EB5" w:rsidRDefault="003069B1" w:rsidP="003069B1">
      <w:pPr>
        <w:pStyle w:val="berschrift3"/>
        <w:keepNext/>
      </w:pPr>
      <w:bookmarkStart w:id="40" w:name="_Toc260214938"/>
      <w:r w:rsidRPr="00466EB5">
        <w:t>View </w:t>
      </w:r>
      <w:r>
        <w:t>&gt;</w:t>
      </w:r>
      <w:r w:rsidRPr="00466EB5">
        <w:t> Show </w:t>
      </w:r>
      <w:proofErr w:type="spellStart"/>
      <w:r>
        <w:t>g</w:t>
      </w:r>
      <w:r w:rsidRPr="00466EB5">
        <w:t>rid</w:t>
      </w:r>
      <w:bookmarkEnd w:id="30"/>
      <w:bookmarkEnd w:id="31"/>
      <w:bookmarkEnd w:id="32"/>
      <w:bookmarkEnd w:id="38"/>
      <w:bookmarkEnd w:id="40"/>
      <w:proofErr w:type="spellEnd"/>
    </w:p>
    <w:p w:rsidR="003069B1" w:rsidRPr="00466EB5" w:rsidRDefault="003069B1" w:rsidP="003069B1">
      <w:pPr>
        <w:pStyle w:val="Standard-BlockCharCharChar"/>
        <w:keepNext/>
      </w:pPr>
      <w:r w:rsidRPr="00466EB5">
        <w:t>Legt fest, ob Gitternetzlinien in der Partitur angezeigt oder ausgeblendet werden. Eingeblendete Gitte</w:t>
      </w:r>
      <w:r w:rsidRPr="00466EB5">
        <w:t>r</w:t>
      </w:r>
      <w:r w:rsidRPr="00466EB5">
        <w:t>netzlinien erleichtern die Navigation in der Partitur und machen die Einteilung in Ereignisse deutlicher:</w:t>
      </w:r>
    </w:p>
    <w:p w:rsidR="003069B1" w:rsidRPr="00466EB5" w:rsidRDefault="003069B1" w:rsidP="003069B1">
      <w:pPr>
        <w:pStyle w:val="Standard-BlockCharCharChar"/>
      </w:pPr>
    </w:p>
    <w:p w:rsidR="003069B1" w:rsidRPr="00466EB5" w:rsidRDefault="003069B1" w:rsidP="003069B1">
      <w:pPr>
        <w:pStyle w:val="BildChar"/>
      </w:pPr>
      <w:r>
        <w:rPr>
          <w:noProof/>
        </w:rPr>
        <w:drawing>
          <wp:inline distT="0" distB="0" distL="0" distR="0">
            <wp:extent cx="5934710" cy="1431925"/>
            <wp:effectExtent l="0" t="0" r="889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9B1" w:rsidRPr="00466EB5" w:rsidRDefault="003069B1" w:rsidP="003069B1">
      <w:pPr>
        <w:pStyle w:val="Standard-BlockCharCharChar"/>
      </w:pPr>
    </w:p>
    <w:p w:rsidR="003069B1" w:rsidRPr="00466EB5" w:rsidRDefault="003069B1" w:rsidP="003069B1">
      <w:pPr>
        <w:pStyle w:val="Standard-BlockCharCharChar"/>
      </w:pPr>
      <w:r w:rsidRPr="00466EB5">
        <w:t>Ausgeblendete Gitternetzlinien verbergen die Tabellenstruktur der Benutzeroberfläche und la</w:t>
      </w:r>
      <w:r w:rsidRPr="00466EB5">
        <w:t>s</w:t>
      </w:r>
      <w:r w:rsidRPr="00466EB5">
        <w:t>sen sie so „</w:t>
      </w:r>
      <w:proofErr w:type="spellStart"/>
      <w:r w:rsidRPr="00466EB5">
        <w:t>partiturförmiger</w:t>
      </w:r>
      <w:proofErr w:type="spellEnd"/>
      <w:r w:rsidRPr="00466EB5">
        <w:t>“ erscheinen, insbesondere wenn zusätzlich als Hintergrundfa</w:t>
      </w:r>
      <w:r w:rsidRPr="00466EB5">
        <w:t>r</w:t>
      </w:r>
      <w:r w:rsidRPr="00466EB5">
        <w:t xml:space="preserve">be für leere Ereignisse </w:t>
      </w:r>
      <w:r>
        <w:t>„</w:t>
      </w:r>
      <w:r w:rsidRPr="00466EB5">
        <w:t>weiß</w:t>
      </w:r>
      <w:r>
        <w:t>“</w:t>
      </w:r>
      <w:r w:rsidRPr="00466EB5">
        <w:t xml:space="preserve"> gewählt wird (siehe hierzu auch „Format-Menü“ und „View-Menü“):</w:t>
      </w:r>
    </w:p>
    <w:p w:rsidR="003069B1" w:rsidRPr="00466EB5" w:rsidRDefault="003069B1" w:rsidP="003069B1">
      <w:pPr>
        <w:pStyle w:val="Standard-BlockCharCharChar"/>
      </w:pPr>
    </w:p>
    <w:p w:rsidR="003069B1" w:rsidRPr="00466EB5" w:rsidRDefault="003069B1" w:rsidP="003069B1">
      <w:pPr>
        <w:pStyle w:val="BildChar"/>
      </w:pPr>
      <w:r>
        <w:rPr>
          <w:noProof/>
        </w:rPr>
        <w:drawing>
          <wp:inline distT="0" distB="0" distL="0" distR="0">
            <wp:extent cx="5934710" cy="1431925"/>
            <wp:effectExtent l="0" t="0" r="889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9B1" w:rsidRPr="00466EB5" w:rsidRDefault="003069B1" w:rsidP="003069B1">
      <w:pPr>
        <w:pStyle w:val="Standard-BlockCharCharChar"/>
      </w:pPr>
    </w:p>
    <w:p w:rsidR="003069B1" w:rsidRPr="00466EB5" w:rsidRDefault="003069B1" w:rsidP="003069B1">
      <w:pPr>
        <w:pStyle w:val="berschrift3"/>
      </w:pPr>
      <w:bookmarkStart w:id="41" w:name="_Toc55213860"/>
      <w:bookmarkStart w:id="42" w:name="_Toc69129850"/>
      <w:bookmarkStart w:id="43" w:name="_Toc69129991"/>
      <w:bookmarkStart w:id="44" w:name="_View_&gt;_Show_special characters"/>
      <w:bookmarkStart w:id="45" w:name="_Ref108438090"/>
      <w:bookmarkStart w:id="46" w:name="_Toc260214939"/>
      <w:bookmarkEnd w:id="27"/>
      <w:bookmarkEnd w:id="28"/>
      <w:bookmarkEnd w:id="29"/>
      <w:bookmarkEnd w:id="44"/>
      <w:r w:rsidRPr="00466EB5">
        <w:t>View </w:t>
      </w:r>
      <w:r>
        <w:t>&gt;</w:t>
      </w:r>
      <w:r w:rsidRPr="00466EB5">
        <w:t> Show </w:t>
      </w:r>
      <w:proofErr w:type="spellStart"/>
      <w:r w:rsidRPr="00466EB5">
        <w:t>special</w:t>
      </w:r>
      <w:proofErr w:type="spellEnd"/>
      <w:r w:rsidRPr="00466EB5">
        <w:t> </w:t>
      </w:r>
      <w:proofErr w:type="spellStart"/>
      <w:r w:rsidRPr="00466EB5">
        <w:t>characters</w:t>
      </w:r>
      <w:bookmarkEnd w:id="41"/>
      <w:bookmarkEnd w:id="42"/>
      <w:bookmarkEnd w:id="43"/>
      <w:bookmarkEnd w:id="45"/>
      <w:bookmarkEnd w:id="46"/>
      <w:proofErr w:type="spellEnd"/>
    </w:p>
    <w:p w:rsidR="003069B1" w:rsidRPr="00466EB5" w:rsidRDefault="003069B1" w:rsidP="003069B1">
      <w:pPr>
        <w:pStyle w:val="Standard-BlockCharCharChar"/>
      </w:pPr>
      <w:r w:rsidRPr="00466EB5">
        <w:t>Zeigt Leerzeichen (Spatien) in der Partitur als kleine Punkte an (etwa wie in MS Word). Die Part</w:t>
      </w:r>
      <w:r w:rsidRPr="00466EB5">
        <w:t>i</w:t>
      </w:r>
      <w:r w:rsidRPr="00466EB5">
        <w:t>tur muss dazu neu formatiert werden. Dies kann einige Sekunden dauern. Bitte beachten Sie: Wenn diese Option akt</w:t>
      </w:r>
      <w:r w:rsidRPr="00466EB5">
        <w:t>i</w:t>
      </w:r>
      <w:r w:rsidRPr="00466EB5">
        <w:t>viert ist, lässt sich die Partitur nicht editieren! Um wieder editieren zu können, deaktivieren Sie die Option wieder, indem Sie die Funktion erneut über das Menü oder die Toolbar aufrufen.</w:t>
      </w:r>
    </w:p>
    <w:p w:rsidR="003069B1" w:rsidRPr="00466EB5" w:rsidRDefault="003069B1" w:rsidP="003069B1">
      <w:pPr>
        <w:pStyle w:val="Standard-BlockCharCharChar"/>
      </w:pPr>
    </w:p>
    <w:tbl>
      <w:tblPr>
        <w:tblW w:w="9606" w:type="dxa"/>
        <w:tblLook w:val="01E0" w:firstRow="1" w:lastRow="1" w:firstColumn="1" w:lastColumn="1" w:noHBand="0" w:noVBand="0"/>
      </w:tblPr>
      <w:tblGrid>
        <w:gridCol w:w="4678"/>
        <w:gridCol w:w="4928"/>
      </w:tblGrid>
      <w:tr w:rsidR="003069B1" w:rsidRPr="00466EB5" w:rsidTr="00552443">
        <w:tc>
          <w:tcPr>
            <w:tcW w:w="4678" w:type="dxa"/>
          </w:tcPr>
          <w:p w:rsidR="003069B1" w:rsidRPr="00466EB5" w:rsidRDefault="003069B1" w:rsidP="00552443">
            <w:pPr>
              <w:pStyle w:val="Standard-BlockCharCharChar"/>
            </w:pPr>
            <w:r w:rsidRPr="00466EB5">
              <w:t>Normalansicht</w:t>
            </w:r>
          </w:p>
          <w:p w:rsidR="003069B1" w:rsidRPr="00466EB5" w:rsidRDefault="003069B1" w:rsidP="00552443">
            <w:pPr>
              <w:pStyle w:val="Standard-BlockCharCharChar"/>
            </w:pPr>
            <w:r w:rsidRPr="00466EB5">
              <w:t>(Partitur ist editierbar):</w:t>
            </w:r>
          </w:p>
          <w:p w:rsidR="003069B1" w:rsidRPr="00466EB5" w:rsidRDefault="003069B1" w:rsidP="00552443">
            <w:pPr>
              <w:pStyle w:val="Standard-BlockCharCharChar"/>
            </w:pPr>
          </w:p>
        </w:tc>
        <w:tc>
          <w:tcPr>
            <w:tcW w:w="4928" w:type="dxa"/>
          </w:tcPr>
          <w:p w:rsidR="003069B1" w:rsidRPr="003813E4" w:rsidRDefault="003069B1" w:rsidP="00552443">
            <w:pPr>
              <w:pStyle w:val="Standard-BlockCharCharChar"/>
              <w:ind w:left="567"/>
            </w:pPr>
            <w:r w:rsidRPr="003813E4">
              <w:t xml:space="preserve">„Show </w:t>
            </w:r>
            <w:proofErr w:type="spellStart"/>
            <w:r w:rsidRPr="003813E4">
              <w:t>special</w:t>
            </w:r>
            <w:proofErr w:type="spellEnd"/>
            <w:r w:rsidRPr="003813E4">
              <w:t xml:space="preserve"> </w:t>
            </w:r>
            <w:proofErr w:type="spellStart"/>
            <w:r w:rsidRPr="003813E4">
              <w:t>characters</w:t>
            </w:r>
            <w:proofErr w:type="spellEnd"/>
            <w:r w:rsidRPr="003813E4">
              <w:t>“ aktiviert</w:t>
            </w:r>
          </w:p>
          <w:p w:rsidR="003069B1" w:rsidRPr="00466EB5" w:rsidRDefault="003069B1" w:rsidP="00552443">
            <w:pPr>
              <w:pStyle w:val="Standard-BlockCharCharChar"/>
              <w:ind w:left="567"/>
            </w:pPr>
            <w:r w:rsidRPr="00466EB5">
              <w:t>(Partitur ist nicht editierbar):</w:t>
            </w:r>
          </w:p>
        </w:tc>
      </w:tr>
      <w:tr w:rsidR="003069B1" w:rsidRPr="00466EB5" w:rsidTr="00552443">
        <w:tc>
          <w:tcPr>
            <w:tcW w:w="4678" w:type="dxa"/>
          </w:tcPr>
          <w:p w:rsidR="003069B1" w:rsidRPr="00466EB5" w:rsidRDefault="003069B1" w:rsidP="00552443">
            <w:pPr>
              <w:pStyle w:val="BildChar"/>
              <w:jc w:val="left"/>
            </w:pPr>
            <w:r>
              <w:rPr>
                <w:noProof/>
              </w:rPr>
              <w:drawing>
                <wp:inline distT="0" distB="0" distL="0" distR="0">
                  <wp:extent cx="2708910" cy="517525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-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910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3069B1" w:rsidRPr="00466EB5" w:rsidRDefault="003069B1" w:rsidP="00552443">
            <w:pPr>
              <w:pStyle w:val="BildChar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708910" cy="483235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-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910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9B1" w:rsidRDefault="003069B1" w:rsidP="003069B1">
      <w:pPr>
        <w:pStyle w:val="Standard-BlockCharCharChar"/>
      </w:pPr>
    </w:p>
    <w:p w:rsidR="003069B1" w:rsidRPr="00466EB5" w:rsidRDefault="003069B1" w:rsidP="003069B1">
      <w:pPr>
        <w:pStyle w:val="berschrift3"/>
      </w:pPr>
      <w:bookmarkStart w:id="47" w:name="_Toc55213861"/>
      <w:bookmarkStart w:id="48" w:name="_Toc69129851"/>
      <w:bookmarkStart w:id="49" w:name="_Toc69129992"/>
      <w:bookmarkStart w:id="50" w:name="_View_&gt;_Color_empty events"/>
      <w:bookmarkStart w:id="51" w:name="_Ref108438100"/>
      <w:bookmarkStart w:id="52" w:name="_Toc260214940"/>
      <w:bookmarkEnd w:id="50"/>
      <w:r w:rsidRPr="00466EB5">
        <w:t>View </w:t>
      </w:r>
      <w:r>
        <w:t>&gt;</w:t>
      </w:r>
      <w:r w:rsidRPr="00466EB5">
        <w:t> </w:t>
      </w:r>
      <w:r>
        <w:t>Color </w:t>
      </w:r>
      <w:proofErr w:type="spellStart"/>
      <w:r>
        <w:t>empty</w:t>
      </w:r>
      <w:proofErr w:type="spellEnd"/>
      <w:r>
        <w:t> </w:t>
      </w:r>
      <w:proofErr w:type="spellStart"/>
      <w:r>
        <w:t>events</w:t>
      </w:r>
      <w:bookmarkEnd w:id="51"/>
      <w:bookmarkEnd w:id="52"/>
      <w:proofErr w:type="spellEnd"/>
    </w:p>
    <w:p w:rsidR="003069B1" w:rsidRDefault="003069B1" w:rsidP="003069B1">
      <w:pPr>
        <w:pStyle w:val="Standard-BlockCharCharChar"/>
      </w:pPr>
      <w:r w:rsidRPr="00E30C4F">
        <w:t xml:space="preserve">Legt fest, ob die Stellen der Transkription, an denen kein Ereignis eingetragen ist, </w:t>
      </w:r>
      <w:r>
        <w:t>in der Bildschirma</w:t>
      </w:r>
      <w:r>
        <w:t>n</w:t>
      </w:r>
      <w:r>
        <w:t xml:space="preserve">sicht </w:t>
      </w:r>
      <w:r w:rsidRPr="00E30C4F">
        <w:t xml:space="preserve">eine eigene farbliche </w:t>
      </w:r>
      <w:r>
        <w:t>Schattierung</w:t>
      </w:r>
      <w:r w:rsidRPr="00E30C4F">
        <w:t xml:space="preserve"> erhalten sollen. </w:t>
      </w:r>
      <w:r>
        <w:t xml:space="preserve">Die Schattierung wird nicht mit ausgegeben. Sie Schattierungsfarbe ist auf „grau“ voreingestellt und kann Sie kann über den Befehl </w:t>
      </w:r>
      <w:r w:rsidRPr="009F258D">
        <w:rPr>
          <w:i/>
        </w:rPr>
        <w:t>Format &gt; Edit </w:t>
      </w:r>
      <w:proofErr w:type="spellStart"/>
      <w:r w:rsidRPr="009F258D">
        <w:rPr>
          <w:i/>
        </w:rPr>
        <w:t>format</w:t>
      </w:r>
      <w:proofErr w:type="spellEnd"/>
      <w:r w:rsidRPr="009F258D">
        <w:rPr>
          <w:i/>
        </w:rPr>
        <w:t> </w:t>
      </w:r>
      <w:proofErr w:type="spellStart"/>
      <w:r w:rsidRPr="009F258D">
        <w:rPr>
          <w:i/>
        </w:rPr>
        <w:t>table</w:t>
      </w:r>
      <w:proofErr w:type="spellEnd"/>
      <w:r>
        <w:t xml:space="preserve"> verändert werden. Wählen Sie dafür in dem dortigen Dialog als zu form</w:t>
      </w:r>
      <w:r>
        <w:t>a</w:t>
      </w:r>
      <w:r>
        <w:t xml:space="preserve">tierendes Objekt „EMPTY-EDITOR“ aus und klicken Sie anschließend auf den </w:t>
      </w:r>
      <w:r w:rsidRPr="007D5A7E">
        <w:rPr>
          <w:i/>
        </w:rPr>
        <w:t>Edit</w:t>
      </w:r>
      <w:r>
        <w:t>-Button neben dem Eintrag „Background </w:t>
      </w:r>
      <w:proofErr w:type="spellStart"/>
      <w:r>
        <w:t>color</w:t>
      </w:r>
      <w:proofErr w:type="spellEnd"/>
      <w:r>
        <w:t>“, um zu der entsprechenden Farbauswahl zu gelangen.</w:t>
      </w:r>
      <w:r w:rsidRPr="00D41938">
        <w:t xml:space="preserve"> </w:t>
      </w:r>
    </w:p>
    <w:p w:rsidR="003069B1" w:rsidRDefault="003069B1" w:rsidP="003069B1">
      <w:pPr>
        <w:pStyle w:val="Standard-BlockCharCharChar"/>
      </w:pPr>
    </w:p>
    <w:p w:rsidR="003069B1" w:rsidRPr="00E30C4F" w:rsidRDefault="003069B1" w:rsidP="003069B1">
      <w:pPr>
        <w:pStyle w:val="Standard-BlockCharCharChar"/>
      </w:pPr>
      <w:r>
        <w:t>Die Berechnung de</w:t>
      </w:r>
      <w:r w:rsidRPr="00E30C4F">
        <w:t xml:space="preserve">r farblichen </w:t>
      </w:r>
      <w:r>
        <w:t>Schattier</w:t>
      </w:r>
      <w:r w:rsidRPr="00E30C4F">
        <w:t>ung ist zeitaufwendig. Für größere Transkriptionen em</w:t>
      </w:r>
      <w:r w:rsidRPr="00E30C4F">
        <w:t>p</w:t>
      </w:r>
      <w:r w:rsidRPr="00E30C4F">
        <w:t>fiehlt es sich daher, diese Opt</w:t>
      </w:r>
      <w:r w:rsidRPr="00E30C4F">
        <w:t>i</w:t>
      </w:r>
      <w:r w:rsidRPr="00E30C4F">
        <w:t>on zu deaktivieren – der Editor wird dadurch wesentlich schneller.</w:t>
      </w:r>
    </w:p>
    <w:p w:rsidR="003069B1" w:rsidRPr="00466EB5" w:rsidRDefault="003069B1" w:rsidP="003069B1">
      <w:pPr>
        <w:pStyle w:val="Standard-BlockCharCharChar"/>
      </w:pPr>
      <w:r>
        <w:br w:type="page"/>
      </w:r>
    </w:p>
    <w:tbl>
      <w:tblPr>
        <w:tblW w:w="942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8"/>
        <w:gridCol w:w="4678"/>
      </w:tblGrid>
      <w:tr w:rsidR="003069B1" w:rsidRPr="00466EB5" w:rsidTr="00552443">
        <w:tblPrEx>
          <w:tblCellMar>
            <w:top w:w="0" w:type="dxa"/>
            <w:bottom w:w="0" w:type="dxa"/>
          </w:tblCellMar>
        </w:tblPrEx>
        <w:tc>
          <w:tcPr>
            <w:tcW w:w="4748" w:type="dxa"/>
          </w:tcPr>
          <w:p w:rsidR="003069B1" w:rsidRPr="00466EB5" w:rsidRDefault="003069B1" w:rsidP="00552443">
            <w:pPr>
              <w:pStyle w:val="Standard-BlockCharCharChar"/>
              <w:rPr>
                <w:lang w:val="en-GB"/>
              </w:rPr>
            </w:pPr>
            <w:r w:rsidRPr="00466EB5">
              <w:rPr>
                <w:lang w:val="en-GB"/>
              </w:rPr>
              <w:lastRenderedPageBreak/>
              <w:t>Option „</w:t>
            </w:r>
            <w:proofErr w:type="spellStart"/>
            <w:r>
              <w:rPr>
                <w:lang w:val="en-GB"/>
              </w:rPr>
              <w:t>Color</w:t>
            </w:r>
            <w:proofErr w:type="spellEnd"/>
            <w:r w:rsidRPr="00466EB5">
              <w:rPr>
                <w:lang w:val="en-GB"/>
              </w:rPr>
              <w:t xml:space="preserve"> empty events“ </w:t>
            </w:r>
            <w:proofErr w:type="spellStart"/>
            <w:r w:rsidRPr="00466EB5">
              <w:rPr>
                <w:lang w:val="en-GB"/>
              </w:rPr>
              <w:t>deaktiviert</w:t>
            </w:r>
            <w:proofErr w:type="spellEnd"/>
            <w:r w:rsidRPr="00466EB5">
              <w:rPr>
                <w:lang w:val="en-GB"/>
              </w:rPr>
              <w:t>:</w:t>
            </w:r>
          </w:p>
          <w:p w:rsidR="003069B1" w:rsidRPr="00466EB5" w:rsidRDefault="003069B1" w:rsidP="00552443">
            <w:pPr>
              <w:pStyle w:val="Standard-BlockCharCharChar"/>
              <w:rPr>
                <w:lang w:val="en-GB"/>
              </w:rPr>
            </w:pPr>
          </w:p>
        </w:tc>
        <w:tc>
          <w:tcPr>
            <w:tcW w:w="4678" w:type="dxa"/>
          </w:tcPr>
          <w:p w:rsidR="003069B1" w:rsidRPr="00466EB5" w:rsidRDefault="003069B1" w:rsidP="00552443">
            <w:pPr>
              <w:pStyle w:val="Standard-BlockCharCharChar"/>
              <w:rPr>
                <w:lang w:val="en-GB"/>
              </w:rPr>
            </w:pPr>
            <w:r>
              <w:rPr>
                <w:lang w:val="en-GB"/>
              </w:rPr>
              <w:t xml:space="preserve">     </w:t>
            </w:r>
            <w:r w:rsidRPr="00466EB5">
              <w:rPr>
                <w:lang w:val="en-GB"/>
              </w:rPr>
              <w:t>Option „</w:t>
            </w:r>
            <w:proofErr w:type="spellStart"/>
            <w:r>
              <w:rPr>
                <w:lang w:val="en-GB"/>
              </w:rPr>
              <w:t>Color</w:t>
            </w:r>
            <w:proofErr w:type="spellEnd"/>
            <w:r w:rsidRPr="00466EB5">
              <w:rPr>
                <w:lang w:val="en-GB"/>
              </w:rPr>
              <w:t xml:space="preserve"> empty events“ </w:t>
            </w:r>
            <w:proofErr w:type="spellStart"/>
            <w:r w:rsidRPr="00466EB5">
              <w:rPr>
                <w:lang w:val="en-GB"/>
              </w:rPr>
              <w:t>aktiviert</w:t>
            </w:r>
            <w:proofErr w:type="spellEnd"/>
            <w:r w:rsidRPr="00466EB5">
              <w:rPr>
                <w:lang w:val="en-GB"/>
              </w:rPr>
              <w:t>:</w:t>
            </w:r>
          </w:p>
          <w:p w:rsidR="003069B1" w:rsidRPr="00466EB5" w:rsidRDefault="003069B1" w:rsidP="00552443">
            <w:pPr>
              <w:pStyle w:val="Standard-BlockCharCharChar"/>
              <w:rPr>
                <w:lang w:val="en-GB"/>
              </w:rPr>
            </w:pPr>
          </w:p>
        </w:tc>
      </w:tr>
      <w:tr w:rsidR="003069B1" w:rsidRPr="00466EB5" w:rsidTr="00552443">
        <w:tblPrEx>
          <w:tblCellMar>
            <w:top w:w="0" w:type="dxa"/>
            <w:bottom w:w="0" w:type="dxa"/>
          </w:tblCellMar>
        </w:tblPrEx>
        <w:tc>
          <w:tcPr>
            <w:tcW w:w="4748" w:type="dxa"/>
          </w:tcPr>
          <w:p w:rsidR="003069B1" w:rsidRPr="00466EB5" w:rsidRDefault="003069B1" w:rsidP="00552443">
            <w:pPr>
              <w:pStyle w:val="BildChar"/>
              <w:jc w:val="left"/>
            </w:pPr>
            <w:r>
              <w:rPr>
                <w:noProof/>
              </w:rPr>
              <w:drawing>
                <wp:inline distT="0" distB="0" distL="0" distR="0">
                  <wp:extent cx="2708910" cy="108712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910" cy="108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3069B1" w:rsidRPr="00466EB5" w:rsidRDefault="003069B1" w:rsidP="00552443">
            <w:pPr>
              <w:pStyle w:val="BildChar"/>
              <w:jc w:val="right"/>
            </w:pPr>
            <w:r w:rsidRPr="00466EB5">
              <w:br w:type="page"/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2708910" cy="108712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13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910" cy="108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9B1" w:rsidRPr="00466EB5" w:rsidRDefault="003069B1" w:rsidP="003069B1">
      <w:pPr>
        <w:pStyle w:val="Standard-BlockCharCharChar"/>
      </w:pPr>
    </w:p>
    <w:p w:rsidR="003069B1" w:rsidRDefault="003069B1" w:rsidP="003069B1">
      <w:pPr>
        <w:pStyle w:val="Standard-BlockCharCharChar"/>
      </w:pPr>
    </w:p>
    <w:p w:rsidR="003069B1" w:rsidRPr="0070741E" w:rsidRDefault="003069B1" w:rsidP="003069B1">
      <w:pPr>
        <w:pStyle w:val="berschrift3"/>
      </w:pPr>
      <w:bookmarkStart w:id="53" w:name="_View_&gt;_Change_scale constant…"/>
      <w:bookmarkStart w:id="54" w:name="_Ref108438109"/>
      <w:bookmarkStart w:id="55" w:name="_Toc260214941"/>
      <w:bookmarkEnd w:id="53"/>
      <w:r w:rsidRPr="0070741E">
        <w:t>View </w:t>
      </w:r>
      <w:r>
        <w:t>&gt;</w:t>
      </w:r>
      <w:r w:rsidRPr="0070741E">
        <w:t> Change </w:t>
      </w:r>
      <w:proofErr w:type="spellStart"/>
      <w:r w:rsidRPr="0070741E">
        <w:t>scale</w:t>
      </w:r>
      <w:proofErr w:type="spellEnd"/>
      <w:r w:rsidRPr="0070741E">
        <w:t> </w:t>
      </w:r>
      <w:proofErr w:type="spellStart"/>
      <w:r w:rsidRPr="0070741E">
        <w:t>constant</w:t>
      </w:r>
      <w:proofErr w:type="spellEnd"/>
      <w:r w:rsidRPr="0070741E">
        <w:t>…</w:t>
      </w:r>
      <w:bookmarkEnd w:id="54"/>
      <w:bookmarkEnd w:id="55"/>
    </w:p>
    <w:p w:rsidR="003069B1" w:rsidRPr="00466EB5" w:rsidRDefault="003069B1" w:rsidP="003069B1">
      <w:pPr>
        <w:pStyle w:val="Standard-BlockCharCharChar"/>
      </w:pPr>
      <w:r w:rsidRPr="00466EB5">
        <w:t>Zeigt einen Dialog zum Ändern der Skalierungskonstante an.</w:t>
      </w:r>
    </w:p>
    <w:p w:rsidR="003069B1" w:rsidRPr="00466EB5" w:rsidRDefault="003069B1" w:rsidP="003069B1">
      <w:pPr>
        <w:pStyle w:val="Standard-BlockCharCharChar"/>
      </w:pPr>
    </w:p>
    <w:p w:rsidR="003069B1" w:rsidRPr="00466EB5" w:rsidRDefault="003069B1" w:rsidP="003069B1">
      <w:pPr>
        <w:pStyle w:val="BildChar"/>
      </w:pPr>
      <w:r>
        <w:rPr>
          <w:noProof/>
        </w:rPr>
        <w:drawing>
          <wp:inline distT="0" distB="0" distL="0" distR="0">
            <wp:extent cx="2639695" cy="1087120"/>
            <wp:effectExtent l="0" t="0" r="825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9B1" w:rsidRPr="00466EB5" w:rsidRDefault="003069B1" w:rsidP="003069B1">
      <w:pPr>
        <w:pStyle w:val="Standard-BlockCharCharChar"/>
      </w:pPr>
    </w:p>
    <w:p w:rsidR="003069B1" w:rsidRDefault="003069B1" w:rsidP="003069B1">
      <w:pPr>
        <w:pStyle w:val="Standard-BlockCharCharChar"/>
      </w:pPr>
      <w:r w:rsidRPr="00466EB5">
        <w:t>Die Skalierungskonstante ist der Wert, der für die Anzeige im Editor zur eingestellten Punk</w:t>
      </w:r>
      <w:r w:rsidRPr="00466EB5">
        <w:t>t</w:t>
      </w:r>
      <w:r w:rsidRPr="00466EB5">
        <w:t>größe der Schriften hinzuaddiert wird. Eine Skalierungskonstante von +5 führt zum Beispiel dazu, dass Text, der als 10 </w:t>
      </w:r>
      <w:proofErr w:type="spellStart"/>
      <w:r w:rsidRPr="00466EB5">
        <w:t>pt</w:t>
      </w:r>
      <w:proofErr w:type="spellEnd"/>
      <w:r w:rsidRPr="00466EB5">
        <w:t xml:space="preserve"> formatiert ist, in einer Größe von 15 </w:t>
      </w:r>
      <w:proofErr w:type="spellStart"/>
      <w:r w:rsidRPr="00466EB5">
        <w:t>pt</w:t>
      </w:r>
      <w:proofErr w:type="spellEnd"/>
      <w:r w:rsidRPr="00466EB5">
        <w:t xml:space="preserve"> angezeigt wird. Benutzen Sie den Schieberegler, um die Skalierungskonstante zu ändern und klicken Sie dann auf </w:t>
      </w:r>
      <w:r w:rsidRPr="00466EB5">
        <w:rPr>
          <w:i/>
        </w:rPr>
        <w:t>OK</w:t>
      </w:r>
      <w:r w:rsidRPr="00466EB5">
        <w:t>. Die Partitur muss anschließend neu form</w:t>
      </w:r>
      <w:r w:rsidRPr="00466EB5">
        <w:t>a</w:t>
      </w:r>
      <w:r w:rsidRPr="00466EB5">
        <w:t>tiert werden – dies kann unter Umständen einige Sekunden dauern.</w:t>
      </w:r>
    </w:p>
    <w:p w:rsidR="003069B1" w:rsidRDefault="003069B1" w:rsidP="003069B1">
      <w:pPr>
        <w:pStyle w:val="Standard-BlockCharCharChar"/>
      </w:pPr>
    </w:p>
    <w:p w:rsidR="003069B1" w:rsidRDefault="003069B1" w:rsidP="003069B1">
      <w:pPr>
        <w:pStyle w:val="Standard-BlockCharCharChar"/>
      </w:pPr>
      <w:r>
        <w:t>Hinweis: Die Schriftgröße im Textfeld oberhalb der Partitur lässt sich über den Schieberegler an dessen rec</w:t>
      </w:r>
      <w:r>
        <w:t>h</w:t>
      </w:r>
      <w:r>
        <w:t>tem Rand verändern:</w:t>
      </w:r>
    </w:p>
    <w:p w:rsidR="003069B1" w:rsidRDefault="003069B1" w:rsidP="003069B1">
      <w:pPr>
        <w:pStyle w:val="Standard-BlockCharCharChar"/>
      </w:pPr>
    </w:p>
    <w:p w:rsidR="003069B1" w:rsidRPr="00466EB5" w:rsidRDefault="003069B1" w:rsidP="003069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5811520</wp:posOffset>
                </wp:positionH>
                <wp:positionV relativeFrom="paragraph">
                  <wp:posOffset>272415</wp:posOffset>
                </wp:positionV>
                <wp:extent cx="344805" cy="0"/>
                <wp:effectExtent l="25400" t="59055" r="10795" b="64770"/>
                <wp:wrapNone/>
                <wp:docPr id="13" name="Gerade Verbindung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4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Gerade Verbindung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6pt,21.45pt" to="484.7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" strokeweight="1.5pt">
                <v:stroke startarrow="block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5693410" cy="551815"/>
            <wp:effectExtent l="0" t="0" r="254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9B1" w:rsidRPr="00466EB5" w:rsidRDefault="003069B1" w:rsidP="003069B1">
      <w:pPr>
        <w:pStyle w:val="Standard-BlockCharCharChar"/>
      </w:pPr>
    </w:p>
    <w:bookmarkEnd w:id="47"/>
    <w:bookmarkEnd w:id="48"/>
    <w:bookmarkEnd w:id="49"/>
    <w:p w:rsidR="003069B1" w:rsidRPr="00466EB5" w:rsidRDefault="003069B1" w:rsidP="003069B1">
      <w:pPr>
        <w:pStyle w:val="Standard-BlockCharCharChar"/>
      </w:pPr>
    </w:p>
    <w:p w:rsidR="003069B1" w:rsidRPr="00E440B3" w:rsidRDefault="003069B1" w:rsidP="003069B1">
      <w:pPr>
        <w:pStyle w:val="berschrift3"/>
      </w:pPr>
      <w:r w:rsidRPr="00E440B3">
        <w:t>View &gt; Text proportional / Time proportional</w:t>
      </w:r>
    </w:p>
    <w:p w:rsidR="003069B1" w:rsidRPr="00E440B3" w:rsidRDefault="003069B1" w:rsidP="003069B1">
      <w:pPr>
        <w:pStyle w:val="Standard-BlockCharCharChar"/>
      </w:pPr>
    </w:p>
    <w:p w:rsidR="003069B1" w:rsidRDefault="003069B1" w:rsidP="003069B1">
      <w:pPr>
        <w:pStyle w:val="Standard-BlockCharCharChar"/>
      </w:pPr>
      <w:r>
        <w:t>In der normalen Ansicht wird die Breite einzelner „Zellen“ in der Partitur gemäß der Breite des darin en</w:t>
      </w:r>
      <w:r>
        <w:t>t</w:t>
      </w:r>
      <w:r>
        <w:t xml:space="preserve">haltenen Textes berechnet („Text proportional“). Wenn Sie auf „Time proportional“ </w:t>
      </w:r>
      <w:proofErr w:type="spellStart"/>
      <w:r>
        <w:t>view</w:t>
      </w:r>
      <w:proofErr w:type="spellEnd"/>
      <w:r>
        <w:t xml:space="preserve"> umschalten, wird die Breite gemäß der zeitlichen Dauer des entsprechenden Intervalls berechnet, und Oszillogramm und Partitur werden synchronisiert. Dies entspricht der Ansicht von Werkzeugen wie ANVIL, ELAN oder </w:t>
      </w:r>
      <w:proofErr w:type="spellStart"/>
      <w:r>
        <w:t>Praat</w:t>
      </w:r>
      <w:proofErr w:type="spellEnd"/>
      <w:r>
        <w:t>.</w:t>
      </w:r>
    </w:p>
    <w:p w:rsidR="003069B1" w:rsidRDefault="003069B1" w:rsidP="003069B1">
      <w:pPr>
        <w:pStyle w:val="Standard-BlockCharCharChar"/>
      </w:pPr>
    </w:p>
    <w:p w:rsidR="003069B1" w:rsidRPr="0044356A" w:rsidRDefault="003069B1" w:rsidP="003069B1">
      <w:pPr>
        <w:pStyle w:val="Standard-BlockCharCharChar"/>
        <w:keepNext/>
        <w:rPr>
          <w:b/>
        </w:rPr>
      </w:pPr>
      <w:r w:rsidRPr="0044356A">
        <w:rPr>
          <w:b/>
        </w:rPr>
        <w:lastRenderedPageBreak/>
        <w:t xml:space="preserve">Text proportional </w:t>
      </w:r>
      <w:proofErr w:type="spellStart"/>
      <w:r w:rsidRPr="0044356A">
        <w:rPr>
          <w:b/>
        </w:rPr>
        <w:t>view</w:t>
      </w:r>
      <w:proofErr w:type="spellEnd"/>
      <w:r w:rsidRPr="0044356A">
        <w:rPr>
          <w:b/>
        </w:rPr>
        <w:t>:</w:t>
      </w:r>
    </w:p>
    <w:p w:rsidR="003069B1" w:rsidRDefault="003069B1" w:rsidP="003069B1">
      <w:pPr>
        <w:pStyle w:val="Standard-BlockCharCharChar"/>
        <w:keepNext/>
      </w:pPr>
    </w:p>
    <w:p w:rsidR="003069B1" w:rsidRDefault="003069B1" w:rsidP="003069B1">
      <w:pPr>
        <w:pStyle w:val="Standard-BlockCharCharChar"/>
        <w:keepNext/>
        <w:spacing w:line="240" w:lineRule="auto"/>
      </w:pPr>
      <w:r>
        <w:rPr>
          <w:noProof/>
        </w:rPr>
        <w:drawing>
          <wp:inline distT="0" distB="0" distL="0" distR="0">
            <wp:extent cx="5934710" cy="1725295"/>
            <wp:effectExtent l="0" t="0" r="889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9B1" w:rsidRDefault="003069B1" w:rsidP="003069B1">
      <w:pPr>
        <w:pStyle w:val="Standard-BlockCharCharChar"/>
        <w:keepNext/>
        <w:spacing w:line="240" w:lineRule="auto"/>
      </w:pPr>
    </w:p>
    <w:p w:rsidR="003069B1" w:rsidRPr="0044356A" w:rsidRDefault="003069B1" w:rsidP="003069B1">
      <w:pPr>
        <w:pStyle w:val="Standard-BlockCharCharChar"/>
        <w:keepNext/>
        <w:rPr>
          <w:b/>
        </w:rPr>
      </w:pPr>
      <w:r>
        <w:rPr>
          <w:b/>
        </w:rPr>
        <w:t>Time</w:t>
      </w:r>
      <w:r w:rsidRPr="0044356A">
        <w:rPr>
          <w:b/>
        </w:rPr>
        <w:t xml:space="preserve"> proportional </w:t>
      </w:r>
      <w:proofErr w:type="spellStart"/>
      <w:r w:rsidRPr="0044356A">
        <w:rPr>
          <w:b/>
        </w:rPr>
        <w:t>view</w:t>
      </w:r>
      <w:proofErr w:type="spellEnd"/>
      <w:r w:rsidRPr="0044356A">
        <w:rPr>
          <w:b/>
        </w:rPr>
        <w:t>:</w:t>
      </w:r>
    </w:p>
    <w:p w:rsidR="003069B1" w:rsidRDefault="003069B1" w:rsidP="003069B1">
      <w:pPr>
        <w:pStyle w:val="Standard-BlockCharCharChar"/>
        <w:keepNext/>
        <w:spacing w:line="240" w:lineRule="auto"/>
      </w:pPr>
    </w:p>
    <w:p w:rsidR="003069B1" w:rsidRPr="00466EB5" w:rsidRDefault="003069B1" w:rsidP="003069B1">
      <w:pPr>
        <w:pStyle w:val="Standard-BlockCharCharChar"/>
        <w:keepNext/>
        <w:spacing w:line="240" w:lineRule="auto"/>
        <w:sectPr w:rsidR="003069B1" w:rsidRPr="00466EB5" w:rsidSect="00253F8B">
          <w:pgSz w:w="11906" w:h="16838" w:code="9"/>
          <w:pgMar w:top="1361" w:right="1134" w:bottom="907" w:left="1418" w:header="624" w:footer="624" w:gutter="0"/>
          <w:cols w:space="720"/>
        </w:sectPr>
      </w:pPr>
      <w:r>
        <w:rPr>
          <w:noProof/>
        </w:rPr>
        <w:drawing>
          <wp:inline distT="0" distB="0" distL="0" distR="0">
            <wp:extent cx="5934710" cy="2570480"/>
            <wp:effectExtent l="0" t="0" r="889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897" w:rsidRDefault="003069B1">
      <w:bookmarkStart w:id="56" w:name="_GoBack"/>
      <w:bookmarkEnd w:id="56"/>
    </w:p>
    <w:sectPr w:rsidR="002058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9541E"/>
    <w:multiLevelType w:val="multilevel"/>
    <w:tmpl w:val="04070027"/>
    <w:lvl w:ilvl="0">
      <w:start w:val="1"/>
      <w:numFmt w:val="upperRoman"/>
      <w:pStyle w:val="berschrift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berschrift2"/>
      <w:lvlText w:val="%2."/>
      <w:lvlJc w:val="left"/>
      <w:pPr>
        <w:tabs>
          <w:tab w:val="num" w:pos="502"/>
        </w:tabs>
        <w:ind w:left="142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berschrift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9B1"/>
    <w:rsid w:val="00265BEB"/>
    <w:rsid w:val="002C32D7"/>
    <w:rsid w:val="0030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69B1"/>
    <w:pPr>
      <w:widowControl w:val="0"/>
      <w:tabs>
        <w:tab w:val="left" w:pos="482"/>
      </w:tabs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3069B1"/>
    <w:pPr>
      <w:keepNext/>
      <w:numPr>
        <w:numId w:val="1"/>
      </w:numPr>
      <w:spacing w:after="120"/>
      <w:jc w:val="left"/>
      <w:outlineLvl w:val="0"/>
    </w:pPr>
    <w:rPr>
      <w:b/>
      <w:bCs/>
      <w:caps/>
      <w:spacing w:val="-4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3069B1"/>
    <w:pPr>
      <w:numPr>
        <w:ilvl w:val="1"/>
        <w:numId w:val="1"/>
      </w:numPr>
      <w:spacing w:after="120"/>
      <w:ind w:left="0"/>
      <w:jc w:val="left"/>
      <w:outlineLvl w:val="1"/>
    </w:pPr>
    <w:rPr>
      <w:b/>
      <w:bCs/>
      <w:iCs/>
      <w:sz w:val="24"/>
      <w:szCs w:val="28"/>
    </w:rPr>
  </w:style>
  <w:style w:type="paragraph" w:styleId="berschrift3">
    <w:name w:val="heading 3"/>
    <w:basedOn w:val="Standard-BlockCharCharChar"/>
    <w:link w:val="berschrift3Zchn"/>
    <w:qFormat/>
    <w:rsid w:val="003069B1"/>
    <w:pPr>
      <w:spacing w:before="120" w:after="120"/>
      <w:ind w:left="482" w:hanging="482"/>
      <w:jc w:val="left"/>
      <w:outlineLvl w:val="2"/>
    </w:pPr>
    <w:rPr>
      <w:b/>
      <w:bCs/>
      <w:color w:val="0000FF"/>
      <w:sz w:val="22"/>
    </w:rPr>
  </w:style>
  <w:style w:type="paragraph" w:styleId="berschrift4">
    <w:name w:val="heading 4"/>
    <w:basedOn w:val="Standard"/>
    <w:next w:val="Standard"/>
    <w:link w:val="berschrift4Zchn"/>
    <w:qFormat/>
    <w:rsid w:val="003069B1"/>
    <w:pPr>
      <w:keepNext/>
      <w:numPr>
        <w:ilvl w:val="3"/>
        <w:numId w:val="1"/>
      </w:numPr>
      <w:tabs>
        <w:tab w:val="clear" w:pos="2520"/>
        <w:tab w:val="num" w:pos="482"/>
      </w:tabs>
      <w:spacing w:before="120" w:line="240" w:lineRule="exact"/>
      <w:ind w:left="482" w:hanging="482"/>
      <w:outlineLvl w:val="3"/>
    </w:pPr>
  </w:style>
  <w:style w:type="paragraph" w:styleId="berschrift5">
    <w:name w:val="heading 5"/>
    <w:basedOn w:val="Standard"/>
    <w:next w:val="Standard"/>
    <w:link w:val="berschrift5Zchn"/>
    <w:qFormat/>
    <w:rsid w:val="003069B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3069B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3069B1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qFormat/>
    <w:rsid w:val="003069B1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qFormat/>
    <w:rsid w:val="003069B1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3069B1"/>
    <w:rPr>
      <w:rFonts w:ascii="Arial" w:eastAsia="Times New Roman" w:hAnsi="Arial" w:cs="Times New Roman"/>
      <w:b/>
      <w:bCs/>
      <w:caps/>
      <w:spacing w:val="-4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3069B1"/>
    <w:rPr>
      <w:rFonts w:ascii="Arial" w:eastAsia="Times New Roman" w:hAnsi="Arial" w:cs="Times New Roman"/>
      <w:b/>
      <w:bCs/>
      <w:iCs/>
      <w:sz w:val="24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3069B1"/>
    <w:rPr>
      <w:rFonts w:ascii="Arial" w:eastAsia="Times New Roman" w:hAnsi="Arial" w:cs="Times New Roman"/>
      <w:b/>
      <w:bCs/>
      <w:color w:val="0000FF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3069B1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3069B1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3069B1"/>
    <w:rPr>
      <w:rFonts w:ascii="Arial" w:eastAsia="Times New Roman" w:hAnsi="Arial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3069B1"/>
    <w:rPr>
      <w:rFonts w:ascii="Arial" w:eastAsia="Times New Roman" w:hAnsi="Arial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3069B1"/>
    <w:rPr>
      <w:rFonts w:ascii="Arial" w:eastAsia="Times New Roman" w:hAnsi="Arial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3069B1"/>
    <w:rPr>
      <w:rFonts w:ascii="Arial" w:eastAsia="Times New Roman" w:hAnsi="Arial" w:cs="Arial"/>
      <w:lang w:eastAsia="de-DE"/>
    </w:rPr>
  </w:style>
  <w:style w:type="paragraph" w:customStyle="1" w:styleId="Standard-BlockCharCharChar">
    <w:name w:val="Standard-Block Char Char Char"/>
    <w:basedOn w:val="Standard"/>
    <w:link w:val="Standard-BlockCharCharCharChar"/>
    <w:rsid w:val="003069B1"/>
    <w:pPr>
      <w:spacing w:line="240" w:lineRule="exact"/>
    </w:pPr>
  </w:style>
  <w:style w:type="paragraph" w:customStyle="1" w:styleId="Zwischenberschrift">
    <w:name w:val="Zwischenüberschrift"/>
    <w:basedOn w:val="Standard-BlockCharCharChar"/>
    <w:link w:val="ZwischenberschriftChar"/>
    <w:rsid w:val="003069B1"/>
    <w:pPr>
      <w:spacing w:before="120" w:after="120"/>
    </w:pPr>
    <w:rPr>
      <w:b/>
    </w:rPr>
  </w:style>
  <w:style w:type="paragraph" w:customStyle="1" w:styleId="BildChar">
    <w:name w:val="Bild Char"/>
    <w:basedOn w:val="Standard"/>
    <w:link w:val="BildCharChar"/>
    <w:rsid w:val="003069B1"/>
    <w:pPr>
      <w:jc w:val="center"/>
    </w:pPr>
  </w:style>
  <w:style w:type="character" w:customStyle="1" w:styleId="Standard-BlockCharCharCharChar">
    <w:name w:val="Standard-Block Char Char Char Char"/>
    <w:basedOn w:val="Absatz-Standardschriftart"/>
    <w:link w:val="Standard-BlockCharCharChar"/>
    <w:rsid w:val="003069B1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ZwischenberschriftChar">
    <w:name w:val="Zwischenüberschrift Char"/>
    <w:basedOn w:val="Standard-BlockCharCharCharChar"/>
    <w:link w:val="Zwischenberschrift"/>
    <w:rsid w:val="003069B1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ildCharChar">
    <w:name w:val="Bild Char Char"/>
    <w:basedOn w:val="Absatz-Standardschriftart"/>
    <w:link w:val="BildChar"/>
    <w:rsid w:val="003069B1"/>
    <w:rPr>
      <w:rFonts w:ascii="Arial" w:eastAsia="Times New Roman" w:hAnsi="Arial" w:cs="Times New Roman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69B1"/>
    <w:pPr>
      <w:widowControl w:val="0"/>
      <w:tabs>
        <w:tab w:val="left" w:pos="482"/>
      </w:tabs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3069B1"/>
    <w:pPr>
      <w:keepNext/>
      <w:numPr>
        <w:numId w:val="1"/>
      </w:numPr>
      <w:spacing w:after="120"/>
      <w:jc w:val="left"/>
      <w:outlineLvl w:val="0"/>
    </w:pPr>
    <w:rPr>
      <w:b/>
      <w:bCs/>
      <w:caps/>
      <w:spacing w:val="-4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3069B1"/>
    <w:pPr>
      <w:numPr>
        <w:ilvl w:val="1"/>
        <w:numId w:val="1"/>
      </w:numPr>
      <w:spacing w:after="120"/>
      <w:ind w:left="0"/>
      <w:jc w:val="left"/>
      <w:outlineLvl w:val="1"/>
    </w:pPr>
    <w:rPr>
      <w:b/>
      <w:bCs/>
      <w:iCs/>
      <w:sz w:val="24"/>
      <w:szCs w:val="28"/>
    </w:rPr>
  </w:style>
  <w:style w:type="paragraph" w:styleId="berschrift3">
    <w:name w:val="heading 3"/>
    <w:basedOn w:val="Standard-BlockCharCharChar"/>
    <w:link w:val="berschrift3Zchn"/>
    <w:qFormat/>
    <w:rsid w:val="003069B1"/>
    <w:pPr>
      <w:spacing w:before="120" w:after="120"/>
      <w:ind w:left="482" w:hanging="482"/>
      <w:jc w:val="left"/>
      <w:outlineLvl w:val="2"/>
    </w:pPr>
    <w:rPr>
      <w:b/>
      <w:bCs/>
      <w:color w:val="0000FF"/>
      <w:sz w:val="22"/>
    </w:rPr>
  </w:style>
  <w:style w:type="paragraph" w:styleId="berschrift4">
    <w:name w:val="heading 4"/>
    <w:basedOn w:val="Standard"/>
    <w:next w:val="Standard"/>
    <w:link w:val="berschrift4Zchn"/>
    <w:qFormat/>
    <w:rsid w:val="003069B1"/>
    <w:pPr>
      <w:keepNext/>
      <w:numPr>
        <w:ilvl w:val="3"/>
        <w:numId w:val="1"/>
      </w:numPr>
      <w:tabs>
        <w:tab w:val="clear" w:pos="2520"/>
        <w:tab w:val="num" w:pos="482"/>
      </w:tabs>
      <w:spacing w:before="120" w:line="240" w:lineRule="exact"/>
      <w:ind w:left="482" w:hanging="482"/>
      <w:outlineLvl w:val="3"/>
    </w:pPr>
  </w:style>
  <w:style w:type="paragraph" w:styleId="berschrift5">
    <w:name w:val="heading 5"/>
    <w:basedOn w:val="Standard"/>
    <w:next w:val="Standard"/>
    <w:link w:val="berschrift5Zchn"/>
    <w:qFormat/>
    <w:rsid w:val="003069B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3069B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3069B1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qFormat/>
    <w:rsid w:val="003069B1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qFormat/>
    <w:rsid w:val="003069B1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3069B1"/>
    <w:rPr>
      <w:rFonts w:ascii="Arial" w:eastAsia="Times New Roman" w:hAnsi="Arial" w:cs="Times New Roman"/>
      <w:b/>
      <w:bCs/>
      <w:caps/>
      <w:spacing w:val="-4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3069B1"/>
    <w:rPr>
      <w:rFonts w:ascii="Arial" w:eastAsia="Times New Roman" w:hAnsi="Arial" w:cs="Times New Roman"/>
      <w:b/>
      <w:bCs/>
      <w:iCs/>
      <w:sz w:val="24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3069B1"/>
    <w:rPr>
      <w:rFonts w:ascii="Arial" w:eastAsia="Times New Roman" w:hAnsi="Arial" w:cs="Times New Roman"/>
      <w:b/>
      <w:bCs/>
      <w:color w:val="0000FF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3069B1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3069B1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3069B1"/>
    <w:rPr>
      <w:rFonts w:ascii="Arial" w:eastAsia="Times New Roman" w:hAnsi="Arial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3069B1"/>
    <w:rPr>
      <w:rFonts w:ascii="Arial" w:eastAsia="Times New Roman" w:hAnsi="Arial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3069B1"/>
    <w:rPr>
      <w:rFonts w:ascii="Arial" w:eastAsia="Times New Roman" w:hAnsi="Arial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3069B1"/>
    <w:rPr>
      <w:rFonts w:ascii="Arial" w:eastAsia="Times New Roman" w:hAnsi="Arial" w:cs="Arial"/>
      <w:lang w:eastAsia="de-DE"/>
    </w:rPr>
  </w:style>
  <w:style w:type="paragraph" w:customStyle="1" w:styleId="Standard-BlockCharCharChar">
    <w:name w:val="Standard-Block Char Char Char"/>
    <w:basedOn w:val="Standard"/>
    <w:link w:val="Standard-BlockCharCharCharChar"/>
    <w:rsid w:val="003069B1"/>
    <w:pPr>
      <w:spacing w:line="240" w:lineRule="exact"/>
    </w:pPr>
  </w:style>
  <w:style w:type="paragraph" w:customStyle="1" w:styleId="Zwischenberschrift">
    <w:name w:val="Zwischenüberschrift"/>
    <w:basedOn w:val="Standard-BlockCharCharChar"/>
    <w:link w:val="ZwischenberschriftChar"/>
    <w:rsid w:val="003069B1"/>
    <w:pPr>
      <w:spacing w:before="120" w:after="120"/>
    </w:pPr>
    <w:rPr>
      <w:b/>
    </w:rPr>
  </w:style>
  <w:style w:type="paragraph" w:customStyle="1" w:styleId="BildChar">
    <w:name w:val="Bild Char"/>
    <w:basedOn w:val="Standard"/>
    <w:link w:val="BildCharChar"/>
    <w:rsid w:val="003069B1"/>
    <w:pPr>
      <w:jc w:val="center"/>
    </w:pPr>
  </w:style>
  <w:style w:type="character" w:customStyle="1" w:styleId="Standard-BlockCharCharCharChar">
    <w:name w:val="Standard-Block Char Char Char Char"/>
    <w:basedOn w:val="Absatz-Standardschriftart"/>
    <w:link w:val="Standard-BlockCharCharChar"/>
    <w:rsid w:val="003069B1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ZwischenberschriftChar">
    <w:name w:val="Zwischenüberschrift Char"/>
    <w:basedOn w:val="Standard-BlockCharCharCharChar"/>
    <w:link w:val="Zwischenberschrift"/>
    <w:rsid w:val="003069B1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ildCharChar">
    <w:name w:val="Bild Char Char"/>
    <w:basedOn w:val="Absatz-Standardschriftart"/>
    <w:link w:val="BildChar"/>
    <w:rsid w:val="003069B1"/>
    <w:rPr>
      <w:rFonts w:ascii="Arial" w:eastAsia="Times New Roman" w:hAnsi="Arial" w:cs="Times New Roman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643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hzsk-hk</dc:creator>
  <cp:lastModifiedBy>hzsk-hk</cp:lastModifiedBy>
  <cp:revision>1</cp:revision>
  <dcterms:created xsi:type="dcterms:W3CDTF">2012-09-04T17:02:00Z</dcterms:created>
  <dcterms:modified xsi:type="dcterms:W3CDTF">2012-09-04T17:03:00Z</dcterms:modified>
</cp:coreProperties>
</file>