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4546A"/>
          <w:spacing w:val="40"/>
          <w:sz w:val="20"/>
          <w:szCs w:val="20"/>
        </w:rPr>
        <w:t xml:space="preserve">BULLETPROOF AUTOMATIONS</w:t>
      </w:r>
    </w:p>
    <w:p>
      <w:pPr>
        <w:spacing w:after="60"/>
      </w:pPr>
      <w:r>
        <w:rPr>
          <w:rFonts w:ascii="Calibri" w:cs="Calibri" w:eastAsia="Calibri" w:hAnsi="Calibri"/>
          <w:b/>
          <w:bCs/>
          <w:color w:val="1F3864"/>
          <w:sz w:val="44"/>
          <w:szCs w:val="44"/>
        </w:rPr>
        <w:t xml:space="preserve">Bulletproof Automation Builder Pathway</w:t>
      </w:r>
    </w:p>
    <w:p>
      <w:pPr>
        <w:spacing w:after="240"/>
      </w:pPr>
      <w:r>
        <w:rPr>
          <w:rFonts w:ascii="Calibri" w:cs="Calibri" w:eastAsia="Calibri" w:hAnsi="Calibri"/>
          <w:color w:val="44546A"/>
          <w:sz w:val="28"/>
          <w:szCs w:val="28"/>
        </w:rPr>
        <w:t xml:space="preserve">Competency Framework and Certification Standard</w:t>
      </w:r>
    </w:p>
    <w:tbl>
      <w:tblPr>
        <w:tblW w:type="dxa" w:w="9000"/>
        <w:tblBorders>
          <w:top w:val="single" w:color="C9D2E0" w:sz="2"/>
          <w:left w:val="single" w:color="C9D2E0" w:sz="2"/>
          <w:bottom w:val="single" w:color="C9D2E0" w:sz="2"/>
          <w:right w:val="single" w:color="C9D2E0" w:sz="2"/>
          <w:insideH w:val="single" w:color="DCE3EC" w:sz="2"/>
          <w:insideV w:val="single" w:color="DCE3EC" w:sz="2"/>
        </w:tblBorders>
      </w:tblPr>
      <w:tblGrid>
        <w:gridCol w:w="3200"/>
        <w:gridCol w:w="5800"/>
      </w:tblGrid>
      <w:tr>
        <w:trPr>
          <w:tblHeader/>
        </w:trPr>
        <w:tc>
          <w:tcPr>
            <w:tcW w:type="dxa" w:w="32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Field</w:t>
            </w:r>
          </w:p>
        </w:tc>
        <w:tc>
          <w:tcPr>
            <w:tcW w:type="dxa" w:w="58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Detail</w:t>
            </w:r>
          </w:p>
        </w:tc>
      </w:tr>
      <w:tr>
        <w:tc>
          <w:tcPr>
            <w:tcW w:type="dxa" w:w="3200"/>
            <w:tcMar>
              <w:top w:type="dxa" w:w="80"/>
              <w:left w:type="dxa" w:w="120"/>
              <w:bottom w:type="dxa" w:w="80"/>
              <w:right w:type="dxa" w:w="120"/>
            </w:tcMar>
          </w:tcPr>
          <w:p>
            <w:pPr>
              <w:spacing w:after="0" w:line="260"/>
            </w:pPr>
            <w:r>
              <w:rPr>
                <w:rFonts w:ascii="Calibri" w:cs="Calibri" w:eastAsia="Calibri" w:hAnsi="Calibri"/>
                <w:b/>
                <w:bCs/>
                <w:sz w:val="19"/>
                <w:szCs w:val="19"/>
              </w:rPr>
              <w:t xml:space="preserve">Version</w:t>
            </w:r>
          </w:p>
        </w:tc>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2.0 (Draft for circulation)</w:t>
            </w:r>
          </w:p>
        </w:tc>
      </w:tr>
      <w:tr>
        <w:tc>
          <w:tcPr>
            <w:tcW w:type="dxa" w:w="3200"/>
            <w:shd w:fill="F5F7FA"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Issuing body</w:t>
            </w:r>
          </w:p>
        </w:tc>
        <w:tc>
          <w:tcPr>
            <w:tcW w:type="dxa" w:w="5800"/>
            <w:shd w:fill="F5F7FA" w:val="clear"/>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Bulletproof Automations</w:t>
            </w:r>
          </w:p>
        </w:tc>
      </w:tr>
      <w:tr>
        <w:tc>
          <w:tcPr>
            <w:tcW w:type="dxa" w:w="3200"/>
            <w:tcMar>
              <w:top w:type="dxa" w:w="80"/>
              <w:left w:type="dxa" w:w="120"/>
              <w:bottom w:type="dxa" w:w="80"/>
              <w:right w:type="dxa" w:w="120"/>
            </w:tcMar>
          </w:tcPr>
          <w:p>
            <w:pPr>
              <w:spacing w:after="0" w:line="260"/>
            </w:pPr>
            <w:r>
              <w:rPr>
                <w:rFonts w:ascii="Calibri" w:cs="Calibri" w:eastAsia="Calibri" w:hAnsi="Calibri"/>
                <w:b/>
                <w:bCs/>
                <w:sz w:val="19"/>
                <w:szCs w:val="19"/>
              </w:rPr>
              <w:t xml:space="preserve">Owner</w:t>
            </w:r>
          </w:p>
        </w:tc>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Johnathan Lightfoot</w:t>
            </w:r>
          </w:p>
        </w:tc>
      </w:tr>
      <w:tr>
        <w:tc>
          <w:tcPr>
            <w:tcW w:type="dxa" w:w="3200"/>
            <w:shd w:fill="F5F7FA"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Issued</w:t>
            </w:r>
          </w:p>
        </w:tc>
        <w:tc>
          <w:tcPr>
            <w:tcW w:type="dxa" w:w="5800"/>
            <w:shd w:fill="F5F7FA" w:val="clear"/>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[DATE]</w:t>
            </w:r>
          </w:p>
        </w:tc>
      </w:tr>
      <w:tr>
        <w:tc>
          <w:tcPr>
            <w:tcW w:type="dxa" w:w="3200"/>
            <w:tcMar>
              <w:top w:type="dxa" w:w="80"/>
              <w:left w:type="dxa" w:w="120"/>
              <w:bottom w:type="dxa" w:w="80"/>
              <w:right w:type="dxa" w:w="120"/>
            </w:tcMar>
          </w:tcPr>
          <w:p>
            <w:pPr>
              <w:spacing w:after="0" w:line="260"/>
            </w:pPr>
            <w:r>
              <w:rPr>
                <w:rFonts w:ascii="Calibri" w:cs="Calibri" w:eastAsia="Calibri" w:hAnsi="Calibri"/>
                <w:b/>
                <w:bCs/>
                <w:sz w:val="19"/>
                <w:szCs w:val="19"/>
              </w:rPr>
              <w:t xml:space="preserve">Platform basis for current assessments</w:t>
            </w:r>
          </w:p>
        </w:tc>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n8n [VERSION]</w:t>
            </w:r>
          </w:p>
        </w:tc>
      </w:tr>
      <w:tr>
        <w:tc>
          <w:tcPr>
            <w:tcW w:type="dxa" w:w="3200"/>
            <w:shd w:fill="F5F7FA"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Next scheduled review</w:t>
            </w:r>
          </w:p>
        </w:tc>
        <w:tc>
          <w:tcPr>
            <w:tcW w:type="dxa" w:w="5800"/>
            <w:shd w:fill="F5F7FA" w:val="clear"/>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[DATE + 12 months]</w:t>
            </w:r>
          </w:p>
        </w:tc>
      </w:tr>
      <w:tr>
        <w:tc>
          <w:tcPr>
            <w:tcW w:type="dxa" w:w="3200"/>
            <w:tcMar>
              <w:top w:type="dxa" w:w="80"/>
              <w:left w:type="dxa" w:w="120"/>
              <w:bottom w:type="dxa" w:w="80"/>
              <w:right w:type="dxa" w:w="120"/>
            </w:tcMar>
          </w:tcPr>
          <w:p>
            <w:pPr>
              <w:spacing w:after="0" w:line="260"/>
            </w:pPr>
            <w:r>
              <w:rPr>
                <w:rFonts w:ascii="Calibri" w:cs="Calibri" w:eastAsia="Calibri" w:hAnsi="Calibri"/>
                <w:b/>
                <w:bCs/>
                <w:sz w:val="19"/>
                <w:szCs w:val="19"/>
              </w:rPr>
              <w:t xml:space="preserve">Status</w:t>
            </w:r>
          </w:p>
        </w:tc>
        <w:tc>
          <w:tcPr>
            <w:tcW w:type="dxa" w:w="58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Draft — not for publication until open decisions are closed</w:t>
            </w:r>
          </w:p>
        </w:tc>
      </w:tr>
    </w:tbl>
    <w:p>
      <w:pPr>
        <w:spacing w:after="240"/>
      </w:pPr>
      <w:r>
        <w:rPr>
          <w:sz w:val="2"/>
          <w:szCs w:val="2"/>
        </w:rPr>
        <w:t xml:space="preserve"/>
      </w:r>
    </w:p>
    <w:tbl>
      <w:tblPr>
        <w:tblW w:type="dxa" w:w="9000"/>
        <w:tblBorders>
          <w:top w:val="single" w:color="C9D2E0" w:sz="2"/>
          <w:left w:val="single" w:color="1F3864" w:sz="18"/>
          <w:bottom w:val="single" w:color="C9D2E0" w:sz="2"/>
          <w:right w:val="single" w:color="C9D2E0" w:sz="2"/>
          <w:insideH w:val="none"/>
          <w:insideV w:val="none"/>
        </w:tblBorders>
      </w:tblPr>
      <w:tblGrid>
        <w:gridCol w:w="9000"/>
      </w:tblGrid>
      <w:tr>
        <w:tc>
          <w:tcPr>
            <w:tcW w:type="dxa" w:w="9000"/>
            <w:shd w:fill="EDF1F7" w:val="clear"/>
            <w:tcMar>
              <w:top w:type="dxa" w:w="140"/>
              <w:left w:type="dxa" w:w="180"/>
              <w:bottom w:type="dxa" w:w="140"/>
              <w:right w:type="dxa" w:w="180"/>
            </w:tcMar>
          </w:tcPr>
          <w:p>
            <w:pPr>
              <w:spacing w:after="0" w:line="276"/>
            </w:pPr>
            <w:r>
              <w:rPr>
                <w:rFonts w:ascii="Calibri" w:cs="Calibri" w:eastAsia="Calibri" w:hAnsi="Calibri"/>
                <w:b/>
                <w:bCs/>
                <w:sz w:val="21"/>
                <w:szCs w:val="21"/>
              </w:rPr>
              <w:t xml:space="preserve">Circulation note. </w:t>
            </w:r>
            <w:r>
              <w:rPr>
                <w:rFonts w:ascii="Calibri" w:cs="Calibri" w:eastAsia="Calibri" w:hAnsi="Calibri"/>
                <w:sz w:val="21"/>
                <w:szCs w:val="21"/>
              </w:rPr>
              <w:t xml:space="preserve">This document defines the standard against which credentials are awarded. Thresholds in Section 4.8 are provisional and will be confirmed after the first assessment cycle, as described in Section 9.</w:t>
            </w:r>
          </w:p>
        </w:tc>
      </w:tr>
    </w:tbl>
    <w:p>
      <w:r>
        <w:br w:type="page"/>
      </w:r>
    </w:p>
    <w:p>
      <w:pPr>
        <w:spacing w:after="160"/>
      </w:pPr>
      <w:r>
        <w:rPr>
          <w:rFonts w:ascii="Calibri" w:cs="Calibri" w:eastAsia="Calibri" w:hAnsi="Calibri"/>
          <w:b/>
          <w:bCs/>
          <w:color w:val="1F3864"/>
          <w:sz w:val="30"/>
          <w:szCs w:val="30"/>
        </w:rPr>
        <w:t xml:space="preserve">Contents</w:t>
      </w:r>
    </w:p>
    <w:p>
      <w:pPr>
        <w:tabs>
          <w:tab w:val="left" w:pos="620"/>
        </w:tabs>
        <w:spacing w:after="110" w:line="276"/>
        <w:ind w:left="620" w:hanging="620"/>
      </w:pPr>
      <w:r>
        <w:rPr>
          <w:rFonts w:ascii="Calibri" w:cs="Calibri" w:eastAsia="Calibri" w:hAnsi="Calibri"/>
          <w:b/>
          <w:bCs/>
          <w:color w:val="1F3864"/>
          <w:sz w:val="21"/>
          <w:szCs w:val="21"/>
        </w:rPr>
        <w:t xml:space="preserve">1.</w:t>
      </w:r>
      <w:r>
        <w:rPr>
          <w:rFonts w:ascii="Calibri" w:cs="Calibri" w:eastAsia="Calibri" w:hAnsi="Calibri"/>
          <w:sz w:val="21"/>
          <w:szCs w:val="21"/>
        </w:rPr>
        <w:t xml:space="preserve">	Purpose</w:t>
      </w:r>
    </w:p>
    <w:p>
      <w:pPr>
        <w:tabs>
          <w:tab w:val="left" w:pos="620"/>
        </w:tabs>
        <w:spacing w:after="110" w:line="276"/>
        <w:ind w:left="620" w:hanging="620"/>
      </w:pPr>
      <w:r>
        <w:rPr>
          <w:rFonts w:ascii="Calibri" w:cs="Calibri" w:eastAsia="Calibri" w:hAnsi="Calibri"/>
          <w:b/>
          <w:bCs/>
          <w:color w:val="1F3864"/>
          <w:sz w:val="21"/>
          <w:szCs w:val="21"/>
        </w:rPr>
        <w:t xml:space="preserve">2.</w:t>
      </w:r>
      <w:r>
        <w:rPr>
          <w:rFonts w:ascii="Calibri" w:cs="Calibri" w:eastAsia="Calibri" w:hAnsi="Calibri"/>
          <w:sz w:val="21"/>
          <w:szCs w:val="21"/>
        </w:rPr>
        <w:t xml:space="preserve">	The pathway</w:t>
      </w:r>
    </w:p>
    <w:p>
      <w:pPr>
        <w:tabs>
          <w:tab w:val="left" w:pos="620"/>
        </w:tabs>
        <w:spacing w:after="110" w:line="276"/>
        <w:ind w:left="620" w:hanging="620"/>
      </w:pPr>
      <w:r>
        <w:rPr>
          <w:rFonts w:ascii="Calibri" w:cs="Calibri" w:eastAsia="Calibri" w:hAnsi="Calibri"/>
          <w:b/>
          <w:bCs/>
          <w:color w:val="1F3864"/>
          <w:sz w:val="21"/>
          <w:szCs w:val="21"/>
        </w:rPr>
        <w:t xml:space="preserve">3.</w:t>
      </w:r>
      <w:r>
        <w:rPr>
          <w:rFonts w:ascii="Calibri" w:cs="Calibri" w:eastAsia="Calibri" w:hAnsi="Calibri"/>
          <w:sz w:val="21"/>
          <w:szCs w:val="21"/>
        </w:rPr>
        <w:t xml:space="preserve">	Stage 1 — Bulletproof Automation Foundations Certificate</w:t>
      </w:r>
    </w:p>
    <w:p>
      <w:pPr>
        <w:tabs>
          <w:tab w:val="left" w:pos="620"/>
        </w:tabs>
        <w:spacing w:after="110" w:line="276"/>
        <w:ind w:left="620" w:hanging="620"/>
      </w:pPr>
      <w:r>
        <w:rPr>
          <w:rFonts w:ascii="Calibri" w:cs="Calibri" w:eastAsia="Calibri" w:hAnsi="Calibri"/>
          <w:b/>
          <w:bCs/>
          <w:color w:val="1F3864"/>
          <w:sz w:val="21"/>
          <w:szCs w:val="21"/>
        </w:rPr>
        <w:t xml:space="preserve">4.</w:t>
      </w:r>
      <w:r>
        <w:rPr>
          <w:rFonts w:ascii="Calibri" w:cs="Calibri" w:eastAsia="Calibri" w:hAnsi="Calibri"/>
          <w:sz w:val="21"/>
          <w:szCs w:val="21"/>
        </w:rPr>
        <w:t xml:space="preserve">	Stage 2 — Bulletproof Certified Automation Builder (BCAB)</w:t>
      </w:r>
    </w:p>
    <w:p>
      <w:pPr>
        <w:tabs>
          <w:tab w:val="left" w:pos="620"/>
        </w:tabs>
        <w:spacing w:after="110" w:line="276"/>
        <w:ind w:left="620" w:hanging="620"/>
      </w:pPr>
      <w:r>
        <w:rPr>
          <w:rFonts w:ascii="Calibri" w:cs="Calibri" w:eastAsia="Calibri" w:hAnsi="Calibri"/>
          <w:b/>
          <w:bCs/>
          <w:color w:val="1F3864"/>
          <w:sz w:val="21"/>
          <w:szCs w:val="21"/>
        </w:rPr>
        <w:t xml:space="preserve">5.</w:t>
      </w:r>
      <w:r>
        <w:rPr>
          <w:rFonts w:ascii="Calibri" w:cs="Calibri" w:eastAsia="Calibri" w:hAnsi="Calibri"/>
          <w:sz w:val="21"/>
          <w:szCs w:val="21"/>
        </w:rPr>
        <w:t xml:space="preserve">	Stage 3 — Bulletproof Certified Automation Engineer (BCAE)</w:t>
      </w:r>
    </w:p>
    <w:p>
      <w:pPr>
        <w:tabs>
          <w:tab w:val="left" w:pos="620"/>
        </w:tabs>
        <w:spacing w:after="110" w:line="276"/>
        <w:ind w:left="620" w:hanging="620"/>
      </w:pPr>
      <w:r>
        <w:rPr>
          <w:rFonts w:ascii="Calibri" w:cs="Calibri" w:eastAsia="Calibri" w:hAnsi="Calibri"/>
          <w:b/>
          <w:bCs/>
          <w:color w:val="1F3864"/>
          <w:sz w:val="21"/>
          <w:szCs w:val="21"/>
        </w:rPr>
        <w:t xml:space="preserve">6.</w:t>
      </w:r>
      <w:r>
        <w:rPr>
          <w:rFonts w:ascii="Calibri" w:cs="Calibri" w:eastAsia="Calibri" w:hAnsi="Calibri"/>
          <w:sz w:val="21"/>
          <w:szCs w:val="21"/>
        </w:rPr>
        <w:t xml:space="preserve">	Assessment integrity</w:t>
      </w:r>
    </w:p>
    <w:p>
      <w:pPr>
        <w:tabs>
          <w:tab w:val="left" w:pos="620"/>
        </w:tabs>
        <w:spacing w:after="110" w:line="276"/>
        <w:ind w:left="620" w:hanging="620"/>
      </w:pPr>
      <w:r>
        <w:rPr>
          <w:rFonts w:ascii="Calibri" w:cs="Calibri" w:eastAsia="Calibri" w:hAnsi="Calibri"/>
          <w:b/>
          <w:bCs/>
          <w:color w:val="1F3864"/>
          <w:sz w:val="21"/>
          <w:szCs w:val="21"/>
        </w:rPr>
        <w:t xml:space="preserve">7.</w:t>
      </w:r>
      <w:r>
        <w:rPr>
          <w:rFonts w:ascii="Calibri" w:cs="Calibri" w:eastAsia="Calibri" w:hAnsi="Calibri"/>
          <w:sz w:val="21"/>
          <w:szCs w:val="21"/>
        </w:rPr>
        <w:t xml:space="preserve">	Use as a hiring standard</w:t>
      </w:r>
    </w:p>
    <w:p>
      <w:pPr>
        <w:tabs>
          <w:tab w:val="left" w:pos="620"/>
        </w:tabs>
        <w:spacing w:after="110" w:line="276"/>
        <w:ind w:left="620" w:hanging="620"/>
      </w:pPr>
      <w:r>
        <w:rPr>
          <w:rFonts w:ascii="Calibri" w:cs="Calibri" w:eastAsia="Calibri" w:hAnsi="Calibri"/>
          <w:b/>
          <w:bCs/>
          <w:color w:val="1F3864"/>
          <w:sz w:val="21"/>
          <w:szCs w:val="21"/>
        </w:rPr>
        <w:t xml:space="preserve">8.</w:t>
      </w:r>
      <w:r>
        <w:rPr>
          <w:rFonts w:ascii="Calibri" w:cs="Calibri" w:eastAsia="Calibri" w:hAnsi="Calibri"/>
          <w:sz w:val="21"/>
          <w:szCs w:val="21"/>
        </w:rPr>
        <w:t xml:space="preserve">	Credential issuance and validity</w:t>
      </w:r>
    </w:p>
    <w:p>
      <w:pPr>
        <w:tabs>
          <w:tab w:val="left" w:pos="620"/>
        </w:tabs>
        <w:spacing w:after="110" w:line="276"/>
        <w:ind w:left="620" w:hanging="620"/>
      </w:pPr>
      <w:r>
        <w:rPr>
          <w:rFonts w:ascii="Calibri" w:cs="Calibri" w:eastAsia="Calibri" w:hAnsi="Calibri"/>
          <w:b/>
          <w:bCs/>
          <w:color w:val="1F3864"/>
          <w:sz w:val="21"/>
          <w:szCs w:val="21"/>
        </w:rPr>
        <w:t xml:space="preserve">9.</w:t>
      </w:r>
      <w:r>
        <w:rPr>
          <w:rFonts w:ascii="Calibri" w:cs="Calibri" w:eastAsia="Calibri" w:hAnsi="Calibri"/>
          <w:sz w:val="21"/>
          <w:szCs w:val="21"/>
        </w:rPr>
        <w:t xml:space="preserve">	Provisional standards and calibration</w:t>
      </w:r>
    </w:p>
    <w:p>
      <w:pPr>
        <w:tabs>
          <w:tab w:val="left" w:pos="620"/>
        </w:tabs>
        <w:spacing w:after="110" w:line="276"/>
        <w:ind w:left="620" w:hanging="620"/>
      </w:pPr>
      <w:r>
        <w:rPr>
          <w:rFonts w:ascii="Calibri" w:cs="Calibri" w:eastAsia="Calibri" w:hAnsi="Calibri"/>
          <w:b/>
          <w:bCs/>
          <w:color w:val="1F3864"/>
          <w:sz w:val="21"/>
          <w:szCs w:val="21"/>
        </w:rPr>
        <w:t xml:space="preserve">10.</w:t>
      </w:r>
      <w:r>
        <w:rPr>
          <w:rFonts w:ascii="Calibri" w:cs="Calibri" w:eastAsia="Calibri" w:hAnsi="Calibri"/>
          <w:sz w:val="21"/>
          <w:szCs w:val="21"/>
        </w:rPr>
        <w:t xml:space="preserve">	Outcome tracking</w:t>
      </w:r>
    </w:p>
    <w:p>
      <w:pPr>
        <w:tabs>
          <w:tab w:val="left" w:pos="620"/>
        </w:tabs>
        <w:spacing w:after="110" w:line="276"/>
        <w:ind w:left="620" w:hanging="620"/>
      </w:pPr>
      <w:r>
        <w:rPr>
          <w:rFonts w:ascii="Calibri" w:cs="Calibri" w:eastAsia="Calibri" w:hAnsi="Calibri"/>
          <w:b/>
          <w:bCs/>
          <w:color w:val="1F3864"/>
          <w:sz w:val="21"/>
          <w:szCs w:val="21"/>
        </w:rPr>
        <w:t xml:space="preserve">11.</w:t>
      </w:r>
      <w:r>
        <w:rPr>
          <w:rFonts w:ascii="Calibri" w:cs="Calibri" w:eastAsia="Calibri" w:hAnsi="Calibri"/>
          <w:sz w:val="21"/>
          <w:szCs w:val="21"/>
        </w:rPr>
        <w:t xml:space="preserve">	Independence statement</w:t>
      </w:r>
    </w:p>
    <w:p>
      <w:pPr>
        <w:tabs>
          <w:tab w:val="left" w:pos="620"/>
        </w:tabs>
        <w:spacing w:after="110" w:line="276"/>
        <w:ind w:left="620" w:hanging="620"/>
      </w:pPr>
      <w:r>
        <w:rPr>
          <w:rFonts w:ascii="Calibri" w:cs="Calibri" w:eastAsia="Calibri" w:hAnsi="Calibri"/>
          <w:b/>
          <w:bCs/>
          <w:color w:val="1F3864"/>
          <w:sz w:val="21"/>
          <w:szCs w:val="21"/>
        </w:rPr>
        <w:t xml:space="preserve"/>
      </w:r>
      <w:r>
        <w:rPr>
          <w:rFonts w:ascii="Calibri" w:cs="Calibri" w:eastAsia="Calibri" w:hAnsi="Calibri"/>
          <w:sz w:val="21"/>
          <w:szCs w:val="21"/>
        </w:rPr>
        <w:t xml:space="preserve">	Revision history</w:t>
      </w:r>
    </w:p>
    <w:p>
      <w:pPr>
        <w:tabs>
          <w:tab w:val="left" w:pos="620"/>
        </w:tabs>
        <w:spacing w:after="110" w:line="276"/>
        <w:ind w:left="620" w:hanging="620"/>
      </w:pPr>
      <w:r>
        <w:rPr>
          <w:rFonts w:ascii="Calibri" w:cs="Calibri" w:eastAsia="Calibri" w:hAnsi="Calibri"/>
          <w:b/>
          <w:bCs/>
          <w:color w:val="1F3864"/>
          <w:sz w:val="21"/>
          <w:szCs w:val="21"/>
        </w:rPr>
        <w:t xml:space="preserve"/>
      </w:r>
      <w:r>
        <w:rPr>
          <w:rFonts w:ascii="Calibri" w:cs="Calibri" w:eastAsia="Calibri" w:hAnsi="Calibri"/>
          <w:sz w:val="21"/>
          <w:szCs w:val="21"/>
        </w:rPr>
        <w:t xml:space="preserve">	Open decisions before publication</w:t>
      </w:r>
    </w:p>
    <w:p>
      <w:r>
        <w:br w:type="page"/>
      </w:r>
    </w:p>
    <w:p>
      <w:pPr>
        <w:pStyle w:val="Heading1"/>
        <w:spacing w:after="160" w:before="360"/>
      </w:pPr>
      <w:r>
        <w:rPr>
          <w:rFonts w:ascii="Calibri" w:cs="Calibri" w:eastAsia="Calibri" w:hAnsi="Calibri"/>
          <w:b/>
          <w:bCs/>
          <w:color w:val="1F3864"/>
          <w:sz w:val="30"/>
          <w:szCs w:val="30"/>
        </w:rPr>
        <w:t xml:space="preserve">1. Purpose</w:t>
      </w:r>
    </w:p>
    <w:p>
      <w:pPr>
        <w:spacing w:after="120" w:line="276"/>
      </w:pPr>
      <w:r>
        <w:rPr>
          <w:rFonts w:ascii="Calibri" w:cs="Calibri" w:eastAsia="Calibri" w:hAnsi="Calibri"/>
          <w:sz w:val="21"/>
          <w:szCs w:val="21"/>
        </w:rPr>
        <w:t xml:space="preserve">This framework defines the credentials issued under the Bulletproof Automation Builder Pathway: what each attests, what evidence is required, how it is assessed, and where the pass line sits.</w:t>
      </w:r>
    </w:p>
    <w:p>
      <w:pPr>
        <w:spacing w:after="120" w:line="276"/>
      </w:pPr>
      <w:r>
        <w:rPr>
          <w:rFonts w:ascii="Calibri" w:cs="Calibri" w:eastAsia="Calibri" w:hAnsi="Calibri"/>
          <w:sz w:val="21"/>
          <w:szCs w:val="21"/>
        </w:rPr>
        <w:t xml:space="preserve">It exists so that candidates know what is being measured, assessors apply one standard, and employers — including Bulletproof Automations itself — can interpret what a holder can actually do.</w:t>
      </w:r>
    </w:p>
    <w:tbl>
      <w:tblPr>
        <w:tblW w:type="dxa" w:w="9000"/>
        <w:tblBorders>
          <w:top w:val="single" w:color="C9D2E0" w:sz="2"/>
          <w:left w:val="single" w:color="1F3864" w:sz="18"/>
          <w:bottom w:val="single" w:color="C9D2E0" w:sz="2"/>
          <w:right w:val="single" w:color="C9D2E0" w:sz="2"/>
          <w:insideH w:val="none"/>
          <w:insideV w:val="none"/>
        </w:tblBorders>
      </w:tblPr>
      <w:tblGrid>
        <w:gridCol w:w="9000"/>
      </w:tblGrid>
      <w:tr>
        <w:tc>
          <w:tcPr>
            <w:tcW w:type="dxa" w:w="9000"/>
            <w:shd w:fill="EDF1F7" w:val="clear"/>
            <w:tcMar>
              <w:top w:type="dxa" w:w="140"/>
              <w:left w:type="dxa" w:w="180"/>
              <w:bottom w:type="dxa" w:w="140"/>
              <w:right w:type="dxa" w:w="180"/>
            </w:tcMar>
          </w:tcPr>
          <w:p>
            <w:pPr>
              <w:spacing w:after="0" w:line="276"/>
            </w:pPr>
            <w:r>
              <w:rPr>
                <w:rFonts w:ascii="Calibri" w:cs="Calibri" w:eastAsia="Calibri" w:hAnsi="Calibri"/>
                <w:b/>
                <w:bCs/>
                <w:sz w:val="21"/>
                <w:szCs w:val="21"/>
              </w:rPr>
              <w:t xml:space="preserve">The subject of this pathway is automation engineering. </w:t>
            </w:r>
            <w:r>
              <w:rPr>
                <w:rFonts w:ascii="Calibri" w:cs="Calibri" w:eastAsia="Calibri" w:hAnsi="Calibri"/>
                <w:sz w:val="21"/>
                <w:szCs w:val="21"/>
              </w:rPr>
              <w:t xml:space="preserve">n8n is the platform on which competence is currently demonstrated, not the subject being certified. This distinction is deliberate and protects the credential’s value against platform change.</w:t>
            </w:r>
          </w:p>
        </w:tc>
      </w:tr>
    </w:tbl>
    <w:p>
      <w:pPr>
        <w:spacing w:after="120"/>
      </w:pPr>
      <w:r>
        <w:rPr>
          <w:sz w:val="2"/>
          <w:szCs w:val="2"/>
        </w:rPr>
        <w:t xml:space="preserve"/>
      </w:r>
    </w:p>
    <w:p>
      <w:pPr>
        <w:pStyle w:val="Heading1"/>
        <w:spacing w:after="160" w:before="360"/>
      </w:pPr>
      <w:r>
        <w:rPr>
          <w:rFonts w:ascii="Calibri" w:cs="Calibri" w:eastAsia="Calibri" w:hAnsi="Calibri"/>
          <w:b/>
          <w:bCs/>
          <w:color w:val="1F3864"/>
          <w:sz w:val="30"/>
          <w:szCs w:val="30"/>
        </w:rPr>
        <w:t xml:space="preserve">2. The pathway</w:t>
      </w:r>
    </w:p>
    <w:tbl>
      <w:tblPr>
        <w:tblW w:type="dxa" w:w="9000"/>
        <w:tblBorders>
          <w:top w:val="single" w:color="C9D2E0" w:sz="2"/>
          <w:left w:val="single" w:color="C9D2E0" w:sz="2"/>
          <w:bottom w:val="single" w:color="C9D2E0" w:sz="2"/>
          <w:right w:val="single" w:color="C9D2E0" w:sz="2"/>
          <w:insideH w:val="single" w:color="DCE3EC" w:sz="2"/>
          <w:insideV w:val="single" w:color="DCE3EC" w:sz="2"/>
        </w:tblBorders>
      </w:tblPr>
      <w:tblGrid>
        <w:gridCol w:w="700"/>
        <w:gridCol w:w="2500"/>
        <w:gridCol w:w="1800"/>
        <w:gridCol w:w="4000"/>
      </w:tblGrid>
      <w:tr>
        <w:trPr>
          <w:tblHeader/>
        </w:trPr>
        <w:tc>
          <w:tcPr>
            <w:tcW w:type="dxa" w:w="700"/>
            <w:shd w:fill="1F3864" w:val="clear"/>
            <w:tcMar>
              <w:top w:type="dxa" w:w="80"/>
              <w:left w:type="dxa" w:w="120"/>
              <w:bottom w:type="dxa" w:w="80"/>
              <w:right w:type="dxa" w:w="120"/>
            </w:tcMar>
          </w:tcPr>
          <w:p>
            <w:pPr>
              <w:spacing w:after="0" w:line="260"/>
              <w:jc w:val="center"/>
            </w:pPr>
            <w:r>
              <w:rPr>
                <w:rFonts w:ascii="Calibri" w:cs="Calibri" w:eastAsia="Calibri" w:hAnsi="Calibri"/>
                <w:b/>
                <w:bCs/>
                <w:color w:val="FFFFFF"/>
                <w:sz w:val="19"/>
                <w:szCs w:val="19"/>
              </w:rPr>
              <w:t xml:space="preserve">Stage</w:t>
            </w:r>
          </w:p>
        </w:tc>
        <w:tc>
          <w:tcPr>
            <w:tcW w:type="dxa" w:w="25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Credential</w:t>
            </w:r>
          </w:p>
        </w:tc>
        <w:tc>
          <w:tcPr>
            <w:tcW w:type="dxa" w:w="18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Type</w:t>
            </w:r>
          </w:p>
        </w:tc>
        <w:tc>
          <w:tcPr>
            <w:tcW w:type="dxa" w:w="40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it establishes</w:t>
            </w:r>
          </w:p>
        </w:tc>
      </w:tr>
      <w:tr>
        <w:tc>
          <w:tcPr>
            <w:tcW w:type="dxa" w:w="7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1</w:t>
            </w:r>
          </w:p>
        </w:tc>
        <w:tc>
          <w:tcPr>
            <w:tcW w:type="dxa" w:w="2500"/>
            <w:tcMar>
              <w:top w:type="dxa" w:w="80"/>
              <w:left w:type="dxa" w:w="120"/>
              <w:bottom w:type="dxa" w:w="80"/>
              <w:right w:type="dxa" w:w="120"/>
            </w:tcMar>
          </w:tcPr>
          <w:p>
            <w:pPr>
              <w:spacing w:after="0" w:line="260"/>
            </w:pPr>
            <w:r>
              <w:rPr>
                <w:rFonts w:ascii="Calibri" w:cs="Calibri" w:eastAsia="Calibri" w:hAnsi="Calibri"/>
                <w:sz w:val="19"/>
                <w:szCs w:val="19"/>
              </w:rPr>
              <w:t xml:space="preserve">Bulletproof Automation Foundations Certificate</w:t>
            </w:r>
          </w:p>
        </w:tc>
        <w:tc>
          <w:tcPr>
            <w:tcW w:type="dxa" w:w="1800"/>
            <w:tcMar>
              <w:top w:type="dxa" w:w="80"/>
              <w:left w:type="dxa" w:w="120"/>
              <w:bottom w:type="dxa" w:w="80"/>
              <w:right w:type="dxa" w:w="120"/>
            </w:tcMar>
          </w:tcPr>
          <w:p>
            <w:pPr>
              <w:spacing w:after="0" w:line="260"/>
            </w:pPr>
            <w:r>
              <w:rPr>
                <w:rFonts w:ascii="Calibri" w:cs="Calibri" w:eastAsia="Calibri" w:hAnsi="Calibri"/>
                <w:sz w:val="19"/>
                <w:szCs w:val="19"/>
              </w:rPr>
              <w:t xml:space="preserve">Certificate of completion</w:t>
            </w:r>
          </w:p>
        </w:tc>
        <w:tc>
          <w:tcPr>
            <w:tcW w:type="dxa" w:w="4000"/>
            <w:tcMar>
              <w:top w:type="dxa" w:w="80"/>
              <w:left w:type="dxa" w:w="120"/>
              <w:bottom w:type="dxa" w:w="80"/>
              <w:right w:type="dxa" w:w="120"/>
            </w:tcMar>
          </w:tcPr>
          <w:p>
            <w:pPr>
              <w:spacing w:after="0" w:line="260"/>
            </w:pPr>
            <w:r>
              <w:rPr>
                <w:rFonts w:ascii="Calibri" w:cs="Calibri" w:eastAsia="Calibri" w:hAnsi="Calibri"/>
                <w:sz w:val="19"/>
                <w:szCs w:val="19"/>
              </w:rPr>
              <w:t xml:space="preserve">Completed foundational training and demonstrated basic workflow-building proficiency</w:t>
            </w:r>
          </w:p>
        </w:tc>
      </w:tr>
      <w:tr>
        <w:tc>
          <w:tcPr>
            <w:tcW w:type="dxa" w:w="7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2</w:t>
            </w:r>
          </w:p>
        </w:tc>
        <w:tc>
          <w:tcPr>
            <w:tcW w:type="dxa" w:w="25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Bulletproof Certified Automation Builder (BCAB)</w:t>
            </w:r>
          </w:p>
        </w:tc>
        <w:tc>
          <w:tcPr>
            <w:tcW w:type="dxa" w:w="18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Professional certification</w:t>
            </w:r>
          </w:p>
        </w:tc>
        <w:tc>
          <w:tcPr>
            <w:tcW w:type="dxa" w:w="40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Can independently design, integrate, troubleshoot, test, and document moderately complex automation systems</w:t>
            </w:r>
          </w:p>
        </w:tc>
      </w:tr>
      <w:tr>
        <w:tc>
          <w:tcPr>
            <w:tcW w:type="dxa" w:w="7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3</w:t>
            </w:r>
          </w:p>
        </w:tc>
        <w:tc>
          <w:tcPr>
            <w:tcW w:type="dxa" w:w="2500"/>
            <w:tcMar>
              <w:top w:type="dxa" w:w="80"/>
              <w:left w:type="dxa" w:w="120"/>
              <w:bottom w:type="dxa" w:w="80"/>
              <w:right w:type="dxa" w:w="120"/>
            </w:tcMar>
          </w:tcPr>
          <w:p>
            <w:pPr>
              <w:spacing w:after="0" w:line="260"/>
            </w:pPr>
            <w:r>
              <w:rPr>
                <w:rFonts w:ascii="Calibri" w:cs="Calibri" w:eastAsia="Calibri" w:hAnsi="Calibri"/>
                <w:sz w:val="19"/>
                <w:szCs w:val="19"/>
              </w:rPr>
              <w:t xml:space="preserve">Bulletproof Certified Automation Engineer (BCAE)</w:t>
            </w:r>
          </w:p>
        </w:tc>
        <w:tc>
          <w:tcPr>
            <w:tcW w:type="dxa" w:w="1800"/>
            <w:tcMar>
              <w:top w:type="dxa" w:w="80"/>
              <w:left w:type="dxa" w:w="120"/>
              <w:bottom w:type="dxa" w:w="80"/>
              <w:right w:type="dxa" w:w="120"/>
            </w:tcMar>
          </w:tcPr>
          <w:p>
            <w:pPr>
              <w:spacing w:after="0" w:line="260"/>
            </w:pPr>
            <w:r>
              <w:rPr>
                <w:rFonts w:ascii="Calibri" w:cs="Calibri" w:eastAsia="Calibri" w:hAnsi="Calibri"/>
                <w:sz w:val="19"/>
                <w:szCs w:val="19"/>
              </w:rPr>
              <w:t xml:space="preserve">Professional certification</w:t>
            </w:r>
          </w:p>
        </w:tc>
        <w:tc>
          <w:tcPr>
            <w:tcW w:type="dxa" w:w="4000"/>
            <w:tcMar>
              <w:top w:type="dxa" w:w="80"/>
              <w:left w:type="dxa" w:w="120"/>
              <w:bottom w:type="dxa" w:w="80"/>
              <w:right w:type="dxa" w:w="120"/>
            </w:tcMar>
          </w:tcPr>
          <w:p>
            <w:pPr>
              <w:spacing w:after="0" w:line="260"/>
            </w:pPr>
            <w:r>
              <w:rPr>
                <w:rFonts w:ascii="Calibri" w:cs="Calibri" w:eastAsia="Calibri" w:hAnsi="Calibri"/>
                <w:sz w:val="19"/>
                <w:szCs w:val="19"/>
              </w:rPr>
              <w:t xml:space="preserve">Can architect, deploy, secure, operate, monitor, and govern production automation systems</w:t>
            </w:r>
          </w:p>
        </w:tc>
      </w:tr>
    </w:tbl>
    <w:p>
      <w:pPr>
        <w:spacing w:after="120"/>
      </w:pPr>
      <w:r>
        <w:rPr>
          <w:sz w:val="2"/>
          <w:szCs w:val="2"/>
        </w:rPr>
        <w:t xml:space="preserve"/>
      </w:r>
    </w:p>
    <w:p>
      <w:pPr>
        <w:spacing w:after="120" w:line="276"/>
      </w:pPr>
      <w:r>
        <w:rPr>
          <w:rFonts w:ascii="Calibri" w:cs="Calibri" w:eastAsia="Calibri" w:hAnsi="Calibri"/>
          <w:sz w:val="21"/>
          <w:szCs w:val="21"/>
        </w:rPr>
        <w:t xml:space="preserve">Stage 1 is active. Stage 2 launches with the first Intermediate cohort. Stage 3 is defined but not issued.</w:t>
      </w:r>
    </w:p>
    <w:tbl>
      <w:tblPr>
        <w:tblW w:type="dxa" w:w="9000"/>
        <w:tblBorders>
          <w:top w:val="single" w:color="C9D2E0" w:sz="2"/>
          <w:left w:val="single" w:color="1F3864" w:sz="18"/>
          <w:bottom w:val="single" w:color="C9D2E0" w:sz="2"/>
          <w:right w:val="single" w:color="C9D2E0" w:sz="2"/>
          <w:insideH w:val="none"/>
          <w:insideV w:val="none"/>
        </w:tblBorders>
      </w:tblPr>
      <w:tblGrid>
        <w:gridCol w:w="9000"/>
      </w:tblGrid>
      <w:tr>
        <w:tc>
          <w:tcPr>
            <w:tcW w:type="dxa" w:w="9000"/>
            <w:shd w:fill="EDF1F7" w:val="clear"/>
            <w:tcMar>
              <w:top w:type="dxa" w:w="140"/>
              <w:left w:type="dxa" w:w="180"/>
              <w:bottom w:type="dxa" w:w="140"/>
              <w:right w:type="dxa" w:w="180"/>
            </w:tcMar>
          </w:tcPr>
          <w:p>
            <w:pPr>
              <w:spacing w:after="0" w:line="276"/>
            </w:pPr>
            <w:r>
              <w:rPr>
                <w:rFonts w:ascii="Calibri" w:cs="Calibri" w:eastAsia="Calibri" w:hAnsi="Calibri"/>
                <w:b/>
                <w:bCs/>
                <w:sz w:val="21"/>
                <w:szCs w:val="21"/>
              </w:rPr>
              <w:t xml:space="preserve">Training and certification are separate products. </w:t>
            </w:r>
            <w:r>
              <w:rPr>
                <w:rFonts w:ascii="Calibri" w:cs="Calibri" w:eastAsia="Calibri" w:hAnsi="Calibri"/>
                <w:sz w:val="21"/>
                <w:szCs w:val="21"/>
              </w:rPr>
              <w:t xml:space="preserve">Completing a cohort does not confer a certification. It qualifies the learner to attempt the assessment.</w:t>
            </w:r>
          </w:p>
        </w:tc>
      </w:tr>
    </w:tbl>
    <w:p>
      <w:pPr>
        <w:spacing w:after="120"/>
      </w:pPr>
      <w:r>
        <w:rPr>
          <w:sz w:val="2"/>
          <w:szCs w:val="2"/>
        </w:rPr>
        <w:t xml:space="preserve"/>
      </w:r>
    </w:p>
    <w:p>
      <w:pPr>
        <w:pStyle w:val="Heading1"/>
        <w:spacing w:after="160" w:before="360"/>
      </w:pPr>
      <w:r>
        <w:rPr>
          <w:rFonts w:ascii="Calibri" w:cs="Calibri" w:eastAsia="Calibri" w:hAnsi="Calibri"/>
          <w:b/>
          <w:bCs/>
          <w:color w:val="1F3864"/>
          <w:sz w:val="30"/>
          <w:szCs w:val="30"/>
        </w:rPr>
        <w:t xml:space="preserve">3. Stage 1 — Bulletproof Automation Foundations Certificate</w:t>
      </w:r>
    </w:p>
    <w:p>
      <w:pPr>
        <w:pStyle w:val="Heading2"/>
        <w:spacing w:after="120" w:before="260"/>
      </w:pPr>
      <w:r>
        <w:rPr>
          <w:rFonts w:ascii="Calibri" w:cs="Calibri" w:eastAsia="Calibri" w:hAnsi="Calibri"/>
          <w:b/>
          <w:bCs/>
          <w:color w:val="1F3864"/>
          <w:sz w:val="24"/>
          <w:szCs w:val="24"/>
        </w:rPr>
        <w:t xml:space="preserve">3.1 Status</w:t>
      </w:r>
    </w:p>
    <w:p>
      <w:pPr>
        <w:spacing w:after="120" w:line="276"/>
      </w:pPr>
      <w:r>
        <w:rPr>
          <w:rFonts w:ascii="Calibri" w:cs="Calibri" w:eastAsia="Calibri" w:hAnsi="Calibri"/>
          <w:b/>
          <w:bCs/>
          <w:sz w:val="21"/>
          <w:szCs w:val="21"/>
        </w:rPr>
        <w:t xml:space="preserve">This is a certificate of completion, not a professional certification. </w:t>
      </w:r>
      <w:r>
        <w:rPr>
          <w:rFonts w:ascii="Calibri" w:cs="Calibri" w:eastAsia="Calibri" w:hAnsi="Calibri"/>
          <w:sz w:val="21"/>
          <w:szCs w:val="21"/>
        </w:rPr>
        <w:t xml:space="preserve">It makes no independent competency claim beyond readiness to progress. This is stated on the certificate itself.</w:t>
      </w:r>
    </w:p>
    <w:p>
      <w:pPr>
        <w:pStyle w:val="Heading2"/>
        <w:spacing w:after="120" w:before="260"/>
      </w:pPr>
      <w:r>
        <w:rPr>
          <w:rFonts w:ascii="Calibri" w:cs="Calibri" w:eastAsia="Calibri" w:hAnsi="Calibri"/>
          <w:b/>
          <w:bCs/>
          <w:color w:val="1F3864"/>
          <w:sz w:val="24"/>
          <w:szCs w:val="24"/>
        </w:rPr>
        <w:t xml:space="preserve">3.2 What it attests</w:t>
      </w:r>
    </w:p>
    <w:p>
      <w:pPr>
        <w:spacing w:after="120" w:line="276"/>
      </w:pPr>
      <w:r>
        <w:rPr>
          <w:rFonts w:ascii="Calibri" w:cs="Calibri" w:eastAsia="Calibri" w:hAnsi="Calibri"/>
          <w:sz w:val="21"/>
          <w:szCs w:val="21"/>
        </w:rPr>
        <w:t xml:space="preserve">The holder completed the Foundations training programme and demonstrated the ability to:</w:t>
      </w:r>
    </w:p>
    <w:p>
      <w:pPr>
        <w:pStyle w:val="ListParagraph"/>
        <w:numPr>
          <w:ilvl w:val="0"/>
          <w:numId w:val="2"/>
        </w:numPr>
        <w:spacing w:after="80" w:line="276"/>
      </w:pPr>
      <w:r>
        <w:rPr>
          <w:rFonts w:ascii="Calibri" w:cs="Calibri" w:eastAsia="Calibri" w:hAnsi="Calibri"/>
          <w:sz w:val="21"/>
          <w:szCs w:val="21"/>
        </w:rPr>
        <w:t xml:space="preserve">navigate n8n and describe workflow structure in plain language;</w:t>
      </w:r>
    </w:p>
    <w:p>
      <w:pPr>
        <w:pStyle w:val="ListParagraph"/>
        <w:numPr>
          <w:ilvl w:val="0"/>
          <w:numId w:val="2"/>
        </w:numPr>
        <w:spacing w:after="80" w:line="276"/>
      </w:pPr>
      <w:r>
        <w:rPr>
          <w:rFonts w:ascii="Calibri" w:cs="Calibri" w:eastAsia="Calibri" w:hAnsi="Calibri"/>
          <w:sz w:val="21"/>
          <w:szCs w:val="21"/>
        </w:rPr>
        <w:t xml:space="preserve">build a workflow from trigger to output;</w:t>
      </w:r>
    </w:p>
    <w:p>
      <w:pPr>
        <w:pStyle w:val="ListParagraph"/>
        <w:numPr>
          <w:ilvl w:val="0"/>
          <w:numId w:val="2"/>
        </w:numPr>
        <w:spacing w:after="80" w:line="276"/>
      </w:pPr>
      <w:r>
        <w:rPr>
          <w:rFonts w:ascii="Calibri" w:cs="Calibri" w:eastAsia="Calibri" w:hAnsi="Calibri"/>
          <w:sz w:val="21"/>
          <w:szCs w:val="21"/>
        </w:rPr>
        <w:t xml:space="preserve">inspect items, fields, and JSON, and read node input and output;</w:t>
      </w:r>
    </w:p>
    <w:p>
      <w:pPr>
        <w:pStyle w:val="ListParagraph"/>
        <w:numPr>
          <w:ilvl w:val="0"/>
          <w:numId w:val="2"/>
        </w:numPr>
        <w:spacing w:after="80" w:line="276"/>
      </w:pPr>
      <w:r>
        <w:rPr>
          <w:rFonts w:ascii="Calibri" w:cs="Calibri" w:eastAsia="Calibri" w:hAnsi="Calibri"/>
          <w:sz w:val="21"/>
          <w:szCs w:val="21"/>
        </w:rPr>
        <w:t xml:space="preserve">use expressions to move data between nodes;</w:t>
      </w:r>
    </w:p>
    <w:p>
      <w:pPr>
        <w:pStyle w:val="ListParagraph"/>
        <w:numPr>
          <w:ilvl w:val="0"/>
          <w:numId w:val="2"/>
        </w:numPr>
        <w:spacing w:after="80" w:line="276"/>
      </w:pPr>
      <w:r>
        <w:rPr>
          <w:rFonts w:ascii="Calibri" w:cs="Calibri" w:eastAsia="Calibri" w:hAnsi="Calibri"/>
          <w:sz w:val="21"/>
          <w:szCs w:val="21"/>
        </w:rPr>
        <w:t xml:space="preserve">connect an application using a safely stored credential;</w:t>
      </w:r>
    </w:p>
    <w:p>
      <w:pPr>
        <w:pStyle w:val="ListParagraph"/>
        <w:numPr>
          <w:ilvl w:val="0"/>
          <w:numId w:val="2"/>
        </w:numPr>
        <w:spacing w:after="80" w:line="276"/>
      </w:pPr>
      <w:r>
        <w:rPr>
          <w:rFonts w:ascii="Calibri" w:cs="Calibri" w:eastAsia="Calibri" w:hAnsi="Calibri"/>
          <w:sz w:val="21"/>
          <w:szCs w:val="21"/>
        </w:rPr>
        <w:t xml:space="preserve">make a basic API request and read the response;</w:t>
      </w:r>
    </w:p>
    <w:p>
      <w:pPr>
        <w:pStyle w:val="ListParagraph"/>
        <w:numPr>
          <w:ilvl w:val="0"/>
          <w:numId w:val="2"/>
        </w:numPr>
        <w:spacing w:after="80" w:line="276"/>
      </w:pPr>
      <w:r>
        <w:rPr>
          <w:rFonts w:ascii="Calibri" w:cs="Calibri" w:eastAsia="Calibri" w:hAnsi="Calibri"/>
          <w:sz w:val="21"/>
          <w:szCs w:val="21"/>
        </w:rPr>
        <w:t xml:space="preserve">apply IF and Switch logic with a fallback;</w:t>
      </w:r>
    </w:p>
    <w:p>
      <w:pPr>
        <w:pStyle w:val="ListParagraph"/>
        <w:numPr>
          <w:ilvl w:val="0"/>
          <w:numId w:val="2"/>
        </w:numPr>
        <w:spacing w:after="80" w:line="276"/>
      </w:pPr>
      <w:r>
        <w:rPr>
          <w:rFonts w:ascii="Calibri" w:cs="Calibri" w:eastAsia="Calibri" w:hAnsi="Calibri"/>
          <w:sz w:val="21"/>
          <w:szCs w:val="21"/>
        </w:rPr>
        <w:t xml:space="preserve">implement basic error handling;</w:t>
      </w:r>
    </w:p>
    <w:p>
      <w:pPr>
        <w:pStyle w:val="ListParagraph"/>
        <w:numPr>
          <w:ilvl w:val="0"/>
          <w:numId w:val="2"/>
        </w:numPr>
        <w:spacing w:after="80" w:line="276"/>
      </w:pPr>
      <w:r>
        <w:rPr>
          <w:rFonts w:ascii="Calibri" w:cs="Calibri" w:eastAsia="Calibri" w:hAnsi="Calibri"/>
          <w:sz w:val="21"/>
          <w:szCs w:val="21"/>
        </w:rPr>
        <w:t xml:space="preserve">add a controlled AI step;</w:t>
      </w:r>
    </w:p>
    <w:p>
      <w:pPr>
        <w:pStyle w:val="ListParagraph"/>
        <w:numPr>
          <w:ilvl w:val="0"/>
          <w:numId w:val="2"/>
        </w:numPr>
        <w:spacing w:after="80" w:line="276"/>
      </w:pPr>
      <w:r>
        <w:rPr>
          <w:rFonts w:ascii="Calibri" w:cs="Calibri" w:eastAsia="Calibri" w:hAnsi="Calibri"/>
          <w:sz w:val="21"/>
          <w:szCs w:val="21"/>
        </w:rPr>
        <w:t xml:space="preserve">test multiple paths, including one handled failure;</w:t>
      </w:r>
    </w:p>
    <w:p>
      <w:pPr>
        <w:pStyle w:val="ListParagraph"/>
        <w:numPr>
          <w:ilvl w:val="0"/>
          <w:numId w:val="2"/>
        </w:numPr>
        <w:spacing w:after="80" w:line="276"/>
      </w:pPr>
      <w:r>
        <w:rPr>
          <w:rFonts w:ascii="Calibri" w:cs="Calibri" w:eastAsia="Calibri" w:hAnsi="Calibri"/>
          <w:sz w:val="21"/>
          <w:szCs w:val="21"/>
        </w:rPr>
        <w:t xml:space="preserve">export, document, and explain a workflow.</w:t>
      </w:r>
    </w:p>
    <w:p>
      <w:pPr>
        <w:pStyle w:val="Heading2"/>
        <w:spacing w:after="120" w:before="260"/>
      </w:pPr>
      <w:r>
        <w:rPr>
          <w:rFonts w:ascii="Calibri" w:cs="Calibri" w:eastAsia="Calibri" w:hAnsi="Calibri"/>
          <w:b/>
          <w:bCs/>
          <w:color w:val="1F3864"/>
          <w:sz w:val="24"/>
          <w:szCs w:val="24"/>
        </w:rPr>
        <w:t xml:space="preserve">3.3 Award standard</w:t>
      </w:r>
    </w:p>
    <w:p>
      <w:pPr>
        <w:spacing w:after="120" w:line="276"/>
      </w:pPr>
      <w:r>
        <w:rPr>
          <w:rFonts w:ascii="Calibri" w:cs="Calibri" w:eastAsia="Calibri" w:hAnsi="Calibri"/>
          <w:sz w:val="21"/>
          <w:szCs w:val="21"/>
        </w:rPr>
        <w:t xml:space="preserve">Three requirements, all mandatory:</w:t>
      </w:r>
    </w:p>
    <w:p>
      <w:pPr>
        <w:pStyle w:val="ListParagraph"/>
        <w:numPr>
          <w:ilvl w:val="0"/>
          <w:numId w:val="3"/>
        </w:numPr>
        <w:spacing w:after="80" w:line="276"/>
      </w:pPr>
      <w:r>
        <w:rPr>
          <w:rFonts w:ascii="Calibri" w:cs="Calibri" w:eastAsia="Calibri" w:hAnsi="Calibri"/>
          <w:sz w:val="21"/>
          <w:szCs w:val="21"/>
        </w:rPr>
        <w:t xml:space="preserve">Participation — meets the published attendance minimum.</w:t>
      </w:r>
    </w:p>
    <w:p>
      <w:pPr>
        <w:pStyle w:val="ListParagraph"/>
        <w:numPr>
          <w:ilvl w:val="0"/>
          <w:numId w:val="3"/>
        </w:numPr>
        <w:spacing w:after="80" w:line="276"/>
      </w:pPr>
      <w:r>
        <w:rPr>
          <w:rFonts w:ascii="Calibri" w:cs="Calibri" w:eastAsia="Calibri" w:hAnsi="Calibri"/>
          <w:sz w:val="21"/>
          <w:szCs w:val="21"/>
        </w:rPr>
        <w:t xml:space="preserve">Portfolio evidence — submits the required weekly artifacts (workflow export, screenshots, notes) for each class.</w:t>
      </w:r>
    </w:p>
    <w:p>
      <w:pPr>
        <w:pStyle w:val="ListParagraph"/>
        <w:numPr>
          <w:ilvl w:val="0"/>
          <w:numId w:val="3"/>
        </w:numPr>
        <w:spacing w:after="80" w:line="276"/>
      </w:pPr>
      <w:r>
        <w:rPr>
          <w:rFonts w:ascii="Calibri" w:cs="Calibri" w:eastAsia="Calibri" w:hAnsi="Calibri"/>
          <w:sz w:val="21"/>
          <w:szCs w:val="21"/>
        </w:rPr>
        <w:t xml:space="preserve">Capstone — completes the capstone to the published specification and explains it satisfactorily in the walkthrough.</w:t>
      </w:r>
    </w:p>
    <w:p>
      <w:pPr>
        <w:spacing w:after="120" w:line="276"/>
      </w:pPr>
      <w:r>
        <w:rPr>
          <w:rFonts w:ascii="Calibri" w:cs="Calibri" w:eastAsia="Calibri" w:hAnsi="Calibri"/>
          <w:sz w:val="21"/>
          <w:szCs w:val="21"/>
        </w:rPr>
        <w:t xml:space="preserve">There is no separate examination and no direct-entry route. A certificate of completion cannot be awarded for training that was not completed.</w:t>
      </w:r>
    </w:p>
    <w:p>
      <w:pPr>
        <w:pStyle w:val="Heading2"/>
        <w:spacing w:after="120" w:before="260"/>
      </w:pPr>
      <w:r>
        <w:rPr>
          <w:rFonts w:ascii="Calibri" w:cs="Calibri" w:eastAsia="Calibri" w:hAnsi="Calibri"/>
          <w:b/>
          <w:bCs/>
          <w:color w:val="1F3864"/>
          <w:sz w:val="24"/>
          <w:szCs w:val="24"/>
        </w:rPr>
        <w:t xml:space="preserve">3.4 Certificate wording</w:t>
      </w:r>
    </w:p>
    <w:tbl>
      <w:tblPr>
        <w:tblW w:type="dxa" w:w="9000"/>
        <w:tblBorders>
          <w:top w:val="single" w:color="C9D2E0" w:sz="2"/>
          <w:left w:val="single" w:color="1F3864" w:sz="18"/>
          <w:bottom w:val="single" w:color="C9D2E0" w:sz="2"/>
          <w:right w:val="single" w:color="C9D2E0" w:sz="2"/>
          <w:insideH w:val="none"/>
          <w:insideV w:val="none"/>
        </w:tblBorders>
      </w:tblPr>
      <w:tblGrid>
        <w:gridCol w:w="9000"/>
      </w:tblGrid>
      <w:tr>
        <w:tc>
          <w:tcPr>
            <w:tcW w:type="dxa" w:w="9000"/>
            <w:shd w:fill="EDF1F7" w:val="clear"/>
            <w:tcMar>
              <w:top w:type="dxa" w:w="140"/>
              <w:left w:type="dxa" w:w="180"/>
              <w:bottom w:type="dxa" w:w="140"/>
              <w:right w:type="dxa" w:w="180"/>
            </w:tcMar>
          </w:tcPr>
          <w:p>
            <w:pPr>
              <w:spacing w:after="0" w:line="276"/>
            </w:pPr>
            <w:r>
              <w:rPr>
                <w:rFonts w:ascii="Calibri" w:cs="Calibri" w:eastAsia="Calibri" w:hAnsi="Calibri"/>
                <w:i/>
                <w:iCs/>
                <w:sz w:val="21"/>
                <w:szCs w:val="21"/>
              </w:rPr>
              <w:t xml:space="preserve">[Name] completed the Bulletproof Automation Foundations programme and demonstrated the foundational skills required to progress to intermediate automation training. This certificate records completion of training. It is not a professional certification.</w:t>
            </w:r>
          </w:p>
        </w:tc>
      </w:tr>
    </w:tbl>
    <w:p>
      <w:pPr>
        <w:spacing w:after="120"/>
      </w:pPr>
      <w:r>
        <w:rPr>
          <w:sz w:val="2"/>
          <w:szCs w:val="2"/>
        </w:rPr>
        <w:t xml:space="preserve"/>
      </w:r>
    </w:p>
    <w:p>
      <w:pPr>
        <w:pStyle w:val="Heading1"/>
        <w:spacing w:after="160" w:before="360"/>
      </w:pPr>
      <w:r>
        <w:rPr>
          <w:rFonts w:ascii="Calibri" w:cs="Calibri" w:eastAsia="Calibri" w:hAnsi="Calibri"/>
          <w:b/>
          <w:bCs/>
          <w:color w:val="1F3864"/>
          <w:sz w:val="30"/>
          <w:szCs w:val="30"/>
        </w:rPr>
        <w:t xml:space="preserve">4. Stage 2 — Bulletproof Certified Automation Builder (BCAB)</w:t>
      </w:r>
    </w:p>
    <w:p>
      <w:pPr>
        <w:pStyle w:val="Heading2"/>
        <w:spacing w:after="120" w:before="260"/>
      </w:pPr>
      <w:r>
        <w:rPr>
          <w:rFonts w:ascii="Calibri" w:cs="Calibri" w:eastAsia="Calibri" w:hAnsi="Calibri"/>
          <w:b/>
          <w:bCs/>
          <w:color w:val="1F3864"/>
          <w:sz w:val="24"/>
          <w:szCs w:val="24"/>
        </w:rPr>
        <w:t xml:space="preserve">4.1 What this certification attests</w:t>
      </w:r>
    </w:p>
    <w:p>
      <w:pPr>
        <w:spacing w:after="120" w:line="276"/>
      </w:pPr>
      <w:r>
        <w:rPr>
          <w:rFonts w:ascii="Calibri" w:cs="Calibri" w:eastAsia="Calibri" w:hAnsi="Calibri"/>
          <w:sz w:val="21"/>
          <w:szCs w:val="21"/>
        </w:rPr>
        <w:t xml:space="preserve">The holder can independently take a moderately complex automation requirement and design, build, integrate, harden, document, and maintain a solution — and can diagnose a malfunctioning system they did not build.</w:t>
      </w:r>
    </w:p>
    <w:p>
      <w:pPr>
        <w:spacing w:after="120" w:line="276"/>
      </w:pPr>
      <w:r>
        <w:rPr>
          <w:rFonts w:ascii="Calibri" w:cs="Calibri" w:eastAsia="Calibri" w:hAnsi="Calibri"/>
          <w:b/>
          <w:bCs/>
          <w:sz w:val="21"/>
          <w:szCs w:val="21"/>
        </w:rPr>
        <w:t xml:space="preserve">Stated limitation on the credential: </w:t>
      </w:r>
      <w:r>
        <w:rPr>
          <w:rFonts w:ascii="Calibri" w:cs="Calibri" w:eastAsia="Calibri" w:hAnsi="Calibri"/>
          <w:sz w:val="21"/>
          <w:szCs w:val="21"/>
        </w:rPr>
        <w:t xml:space="preserve">does not attest to competence in scaling, infrastructure administration, deployment pipelines, or enterprise security architecture. Those are Stage 3.</w:t>
      </w:r>
    </w:p>
    <w:p>
      <w:pPr>
        <w:pStyle w:val="Heading2"/>
        <w:spacing w:after="120" w:before="260"/>
      </w:pPr>
      <w:r>
        <w:rPr>
          <w:rFonts w:ascii="Calibri" w:cs="Calibri" w:eastAsia="Calibri" w:hAnsi="Calibri"/>
          <w:b/>
          <w:bCs/>
          <w:color w:val="1F3864"/>
          <w:sz w:val="24"/>
          <w:szCs w:val="24"/>
        </w:rPr>
        <w:t xml:space="preserve">4.2 Competency domains</w:t>
      </w:r>
    </w:p>
    <w:tbl>
      <w:tblPr>
        <w:tblW w:type="dxa" w:w="9000"/>
        <w:tblBorders>
          <w:top w:val="single" w:color="C9D2E0" w:sz="2"/>
          <w:left w:val="single" w:color="C9D2E0" w:sz="2"/>
          <w:bottom w:val="single" w:color="C9D2E0" w:sz="2"/>
          <w:right w:val="single" w:color="C9D2E0" w:sz="2"/>
          <w:insideH w:val="single" w:color="DCE3EC" w:sz="2"/>
          <w:insideV w:val="single" w:color="DCE3EC" w:sz="2"/>
        </w:tblBorders>
      </w:tblPr>
      <w:tblGrid>
        <w:gridCol w:w="500"/>
        <w:gridCol w:w="2300"/>
        <w:gridCol w:w="6200"/>
      </w:tblGrid>
      <w:tr>
        <w:trPr>
          <w:tblHeader/>
        </w:trPr>
        <w:tc>
          <w:tcPr>
            <w:tcW w:type="dxa" w:w="500"/>
            <w:shd w:fill="1F3864" w:val="clear"/>
            <w:tcMar>
              <w:top w:type="dxa" w:w="80"/>
              <w:left w:type="dxa" w:w="120"/>
              <w:bottom w:type="dxa" w:w="80"/>
              <w:right w:type="dxa" w:w="120"/>
            </w:tcMar>
          </w:tcPr>
          <w:p>
            <w:pPr>
              <w:spacing w:after="0" w:line="260"/>
              <w:jc w:val="center"/>
            </w:pPr>
            <w:r>
              <w:rPr>
                <w:rFonts w:ascii="Calibri" w:cs="Calibri" w:eastAsia="Calibri" w:hAnsi="Calibri"/>
                <w:b/>
                <w:bCs/>
                <w:color w:val="FFFFFF"/>
                <w:sz w:val="19"/>
                <w:szCs w:val="19"/>
              </w:rPr>
              <w:t xml:space="preserve">#</w:t>
            </w:r>
          </w:p>
        </w:tc>
        <w:tc>
          <w:tcPr>
            <w:tcW w:type="dxa" w:w="23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Domain</w:t>
            </w:r>
          </w:p>
        </w:tc>
        <w:tc>
          <w:tcPr>
            <w:tcW w:type="dxa" w:w="62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Competency at this level</w:t>
            </w:r>
          </w:p>
        </w:tc>
      </w:tr>
      <w:tr>
        <w:tc>
          <w:tcPr>
            <w:tcW w:type="dxa" w:w="5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1</w:t>
            </w:r>
          </w:p>
        </w:tc>
        <w:tc>
          <w:tcPr>
            <w:tcW w:type="dxa" w:w="2300"/>
            <w:tcMar>
              <w:top w:type="dxa" w:w="80"/>
              <w:left w:type="dxa" w:w="120"/>
              <w:bottom w:type="dxa" w:w="80"/>
              <w:right w:type="dxa" w:w="120"/>
            </w:tcMar>
          </w:tcPr>
          <w:p>
            <w:pPr>
              <w:spacing w:after="0" w:line="260"/>
            </w:pPr>
            <w:r>
              <w:rPr>
                <w:rFonts w:ascii="Calibri" w:cs="Calibri" w:eastAsia="Calibri" w:hAnsi="Calibri"/>
                <w:sz w:val="19"/>
                <w:szCs w:val="19"/>
              </w:rPr>
              <w:t xml:space="preserve">Data Engineering</w:t>
            </w:r>
          </w:p>
        </w:tc>
        <w:tc>
          <w:tcPr>
            <w:tcW w:type="dxa" w:w="6200"/>
            <w:tcMar>
              <w:top w:type="dxa" w:w="80"/>
              <w:left w:type="dxa" w:w="120"/>
              <w:bottom w:type="dxa" w:w="80"/>
              <w:right w:type="dxa" w:w="120"/>
            </w:tcMar>
          </w:tcPr>
          <w:p>
            <w:pPr>
              <w:spacing w:after="0" w:line="260"/>
            </w:pPr>
            <w:r>
              <w:rPr>
                <w:rFonts w:ascii="Calibri" w:cs="Calibri" w:eastAsia="Calibri" w:hAnsi="Calibri"/>
                <w:sz w:val="19"/>
                <w:szCs w:val="19"/>
              </w:rPr>
              <w:t xml:space="preserve">Transform nested, multi-item, inconsistent, and incomplete workflow data</w:t>
            </w:r>
          </w:p>
        </w:tc>
      </w:tr>
      <w:tr>
        <w:tc>
          <w:tcPr>
            <w:tcW w:type="dxa" w:w="5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2</w:t>
            </w:r>
          </w:p>
        </w:tc>
        <w:tc>
          <w:tcPr>
            <w:tcW w:type="dxa" w:w="23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Integrations &amp; APIs</w:t>
            </w:r>
          </w:p>
        </w:tc>
        <w:tc>
          <w:tcPr>
            <w:tcW w:type="dxa" w:w="62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Build integrations from API documentation rather than step-by-step instructions</w:t>
            </w:r>
          </w:p>
        </w:tc>
      </w:tr>
      <w:tr>
        <w:tc>
          <w:tcPr>
            <w:tcW w:type="dxa" w:w="5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3</w:t>
            </w:r>
          </w:p>
        </w:tc>
        <w:tc>
          <w:tcPr>
            <w:tcW w:type="dxa" w:w="2300"/>
            <w:tcMar>
              <w:top w:type="dxa" w:w="80"/>
              <w:left w:type="dxa" w:w="120"/>
              <w:bottom w:type="dxa" w:w="80"/>
              <w:right w:type="dxa" w:w="120"/>
            </w:tcMar>
          </w:tcPr>
          <w:p>
            <w:pPr>
              <w:spacing w:after="0" w:line="260"/>
            </w:pPr>
            <w:r>
              <w:rPr>
                <w:rFonts w:ascii="Calibri" w:cs="Calibri" w:eastAsia="Calibri" w:hAnsi="Calibri"/>
                <w:sz w:val="19"/>
                <w:szCs w:val="19"/>
              </w:rPr>
              <w:t xml:space="preserve">Workflow Architecture</w:t>
            </w:r>
          </w:p>
        </w:tc>
        <w:tc>
          <w:tcPr>
            <w:tcW w:type="dxa" w:w="6200"/>
            <w:tcMar>
              <w:top w:type="dxa" w:w="80"/>
              <w:left w:type="dxa" w:w="120"/>
              <w:bottom w:type="dxa" w:w="80"/>
              <w:right w:type="dxa" w:w="120"/>
            </w:tcMar>
          </w:tcPr>
          <w:p>
            <w:pPr>
              <w:spacing w:after="0" w:line="260"/>
            </w:pPr>
            <w:r>
              <w:rPr>
                <w:rFonts w:ascii="Calibri" w:cs="Calibri" w:eastAsia="Calibri" w:hAnsi="Calibri"/>
                <w:sz w:val="19"/>
                <w:szCs w:val="19"/>
              </w:rPr>
              <w:t xml:space="preserve">Decompose automation systems into maintainable workflows and reusable components</w:t>
            </w:r>
          </w:p>
        </w:tc>
      </w:tr>
      <w:tr>
        <w:tc>
          <w:tcPr>
            <w:tcW w:type="dxa" w:w="5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4</w:t>
            </w:r>
          </w:p>
        </w:tc>
        <w:tc>
          <w:tcPr>
            <w:tcW w:type="dxa" w:w="23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Logic &amp; State</w:t>
            </w:r>
          </w:p>
        </w:tc>
        <w:tc>
          <w:tcPr>
            <w:tcW w:type="dxa" w:w="62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Design decision paths, fallbacks, duplicate prevention, and state-aware processing</w:t>
            </w:r>
          </w:p>
        </w:tc>
      </w:tr>
      <w:tr>
        <w:tc>
          <w:tcPr>
            <w:tcW w:type="dxa" w:w="5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5</w:t>
            </w:r>
          </w:p>
        </w:tc>
        <w:tc>
          <w:tcPr>
            <w:tcW w:type="dxa" w:w="2300"/>
            <w:tcMar>
              <w:top w:type="dxa" w:w="80"/>
              <w:left w:type="dxa" w:w="120"/>
              <w:bottom w:type="dxa" w:w="80"/>
              <w:right w:type="dxa" w:w="120"/>
            </w:tcMar>
          </w:tcPr>
          <w:p>
            <w:pPr>
              <w:spacing w:after="0" w:line="260"/>
            </w:pPr>
            <w:r>
              <w:rPr>
                <w:rFonts w:ascii="Calibri" w:cs="Calibri" w:eastAsia="Calibri" w:hAnsi="Calibri"/>
                <w:sz w:val="19"/>
                <w:szCs w:val="19"/>
              </w:rPr>
              <w:t xml:space="preserve">Reliability</w:t>
            </w:r>
          </w:p>
        </w:tc>
        <w:tc>
          <w:tcPr>
            <w:tcW w:type="dxa" w:w="6200"/>
            <w:tcMar>
              <w:top w:type="dxa" w:w="80"/>
              <w:left w:type="dxa" w:w="120"/>
              <w:bottom w:type="dxa" w:w="80"/>
              <w:right w:type="dxa" w:w="120"/>
            </w:tcMar>
          </w:tcPr>
          <w:p>
            <w:pPr>
              <w:spacing w:after="0" w:line="260"/>
            </w:pPr>
            <w:r>
              <w:rPr>
                <w:rFonts w:ascii="Calibri" w:cs="Calibri" w:eastAsia="Calibri" w:hAnsi="Calibri"/>
                <w:sz w:val="19"/>
                <w:szCs w:val="19"/>
              </w:rPr>
              <w:t xml:space="preserve">Design retries, error paths, validation, recovery, and observable failure behaviour</w:t>
            </w:r>
          </w:p>
        </w:tc>
      </w:tr>
      <w:tr>
        <w:tc>
          <w:tcPr>
            <w:tcW w:type="dxa" w:w="5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6</w:t>
            </w:r>
          </w:p>
        </w:tc>
        <w:tc>
          <w:tcPr>
            <w:tcW w:type="dxa" w:w="23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Troubleshooting</w:t>
            </w:r>
          </w:p>
        </w:tc>
        <w:tc>
          <w:tcPr>
            <w:tcW w:type="dxa" w:w="62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Diagnose workflows the candidate did not originally build</w:t>
            </w:r>
          </w:p>
        </w:tc>
      </w:tr>
      <w:tr>
        <w:tc>
          <w:tcPr>
            <w:tcW w:type="dxa" w:w="5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7</w:t>
            </w:r>
          </w:p>
        </w:tc>
        <w:tc>
          <w:tcPr>
            <w:tcW w:type="dxa" w:w="2300"/>
            <w:tcMar>
              <w:top w:type="dxa" w:w="80"/>
              <w:left w:type="dxa" w:w="120"/>
              <w:bottom w:type="dxa" w:w="80"/>
              <w:right w:type="dxa" w:w="120"/>
            </w:tcMar>
          </w:tcPr>
          <w:p>
            <w:pPr>
              <w:spacing w:after="0" w:line="260"/>
            </w:pPr>
            <w:r>
              <w:rPr>
                <w:rFonts w:ascii="Calibri" w:cs="Calibri" w:eastAsia="Calibri" w:hAnsi="Calibri"/>
                <w:sz w:val="19"/>
                <w:szCs w:val="19"/>
              </w:rPr>
              <w:t xml:space="preserve">AI Automation</w:t>
            </w:r>
          </w:p>
        </w:tc>
        <w:tc>
          <w:tcPr>
            <w:tcW w:type="dxa" w:w="6200"/>
            <w:tcMar>
              <w:top w:type="dxa" w:w="80"/>
              <w:left w:type="dxa" w:w="120"/>
              <w:bottom w:type="dxa" w:w="80"/>
              <w:right w:type="dxa" w:w="120"/>
            </w:tcMar>
          </w:tcPr>
          <w:p>
            <w:pPr>
              <w:spacing w:after="0" w:line="260"/>
            </w:pPr>
            <w:r>
              <w:rPr>
                <w:rFonts w:ascii="Calibri" w:cs="Calibri" w:eastAsia="Calibri" w:hAnsi="Calibri"/>
                <w:sz w:val="19"/>
                <w:szCs w:val="19"/>
              </w:rPr>
              <w:t xml:space="preserve">Use AI selectively inside controlled workflows, with validation and deterministic safeguards</w:t>
            </w:r>
          </w:p>
        </w:tc>
      </w:tr>
    </w:tbl>
    <w:p>
      <w:pPr>
        <w:spacing w:after="120"/>
      </w:pPr>
      <w:r>
        <w:rPr>
          <w:sz w:val="2"/>
          <w:szCs w:val="2"/>
        </w:rPr>
        <w:t xml:space="preserve"/>
      </w:r>
    </w:p>
    <w:p>
      <w:pPr>
        <w:spacing w:after="120" w:line="276"/>
      </w:pPr>
      <w:r>
        <w:rPr>
          <w:rFonts w:ascii="Calibri" w:cs="Calibri" w:eastAsia="Calibri" w:hAnsi="Calibri"/>
          <w:b/>
          <w:bCs/>
          <w:sz w:val="21"/>
          <w:szCs w:val="21"/>
        </w:rPr>
        <w:t xml:space="preserve">Documentation and communication are assessed within every domain, </w:t>
      </w:r>
      <w:r>
        <w:rPr>
          <w:rFonts w:ascii="Calibri" w:cs="Calibri" w:eastAsia="Calibri" w:hAnsi="Calibri"/>
          <w:sz w:val="21"/>
          <w:szCs w:val="21"/>
        </w:rPr>
        <w:t xml:space="preserve">not as a separate subject. A candidate who cannot explain a design has not demonstrated the domain.</w:t>
      </w:r>
    </w:p>
    <w:p>
      <w:pPr>
        <w:pStyle w:val="Heading2"/>
        <w:spacing w:after="120" w:before="260"/>
      </w:pPr>
      <w:r>
        <w:rPr>
          <w:rFonts w:ascii="Calibri" w:cs="Calibri" w:eastAsia="Calibri" w:hAnsi="Calibri"/>
          <w:b/>
          <w:bCs/>
          <w:color w:val="1F3864"/>
          <w:sz w:val="24"/>
          <w:szCs w:val="24"/>
        </w:rPr>
        <w:t xml:space="preserve">4.3 Assessment components</w:t>
      </w:r>
    </w:p>
    <w:tbl>
      <w:tblPr>
        <w:tblW w:type="dxa" w:w="9000"/>
        <w:tblBorders>
          <w:top w:val="single" w:color="C9D2E0" w:sz="2"/>
          <w:left w:val="single" w:color="C9D2E0" w:sz="2"/>
          <w:bottom w:val="single" w:color="C9D2E0" w:sz="2"/>
          <w:right w:val="single" w:color="C9D2E0" w:sz="2"/>
          <w:insideH w:val="single" w:color="DCE3EC" w:sz="2"/>
          <w:insideV w:val="single" w:color="DCE3EC" w:sz="2"/>
        </w:tblBorders>
      </w:tblPr>
      <w:tblGrid>
        <w:gridCol w:w="600"/>
        <w:gridCol w:w="2500"/>
        <w:gridCol w:w="1050"/>
        <w:gridCol w:w="4850"/>
      </w:tblGrid>
      <w:tr>
        <w:trPr>
          <w:tblHeader/>
        </w:trPr>
        <w:tc>
          <w:tcPr>
            <w:tcW w:type="dxa" w:w="600"/>
            <w:shd w:fill="1F3864" w:val="clear"/>
            <w:tcMar>
              <w:top w:type="dxa" w:w="80"/>
              <w:left w:type="dxa" w:w="120"/>
              <w:bottom w:type="dxa" w:w="80"/>
              <w:right w:type="dxa" w:w="120"/>
            </w:tcMar>
          </w:tcPr>
          <w:p>
            <w:pPr>
              <w:spacing w:after="0" w:line="260"/>
              <w:jc w:val="center"/>
            </w:pPr>
            <w:r>
              <w:rPr>
                <w:rFonts w:ascii="Calibri" w:cs="Calibri" w:eastAsia="Calibri" w:hAnsi="Calibri"/>
                <w:b/>
                <w:bCs/>
                <w:color w:val="FFFFFF"/>
                <w:sz w:val="19"/>
                <w:szCs w:val="19"/>
              </w:rPr>
              <w:t xml:space="preserve">Part</w:t>
            </w:r>
          </w:p>
        </w:tc>
        <w:tc>
          <w:tcPr>
            <w:tcW w:type="dxa" w:w="25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Component</w:t>
            </w:r>
          </w:p>
        </w:tc>
        <w:tc>
          <w:tcPr>
            <w:tcW w:type="dxa" w:w="1050"/>
            <w:shd w:fill="1F3864" w:val="clear"/>
            <w:tcMar>
              <w:top w:type="dxa" w:w="80"/>
              <w:left w:type="dxa" w:w="120"/>
              <w:bottom w:type="dxa" w:w="80"/>
              <w:right w:type="dxa" w:w="120"/>
            </w:tcMar>
          </w:tcPr>
          <w:p>
            <w:pPr>
              <w:spacing w:after="0" w:line="260"/>
              <w:jc w:val="center"/>
            </w:pPr>
            <w:r>
              <w:rPr>
                <w:rFonts w:ascii="Calibri" w:cs="Calibri" w:eastAsia="Calibri" w:hAnsi="Calibri"/>
                <w:b/>
                <w:bCs/>
                <w:color w:val="FFFFFF"/>
                <w:sz w:val="19"/>
                <w:szCs w:val="19"/>
              </w:rPr>
              <w:t xml:space="preserve">Weight</w:t>
            </w:r>
          </w:p>
        </w:tc>
        <w:tc>
          <w:tcPr>
            <w:tcW w:type="dxa" w:w="485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Delivery</w:t>
            </w:r>
          </w:p>
        </w:tc>
      </w:tr>
      <w:tr>
        <w:tc>
          <w:tcPr>
            <w:tcW w:type="dxa" w:w="6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1</w:t>
            </w:r>
          </w:p>
        </w:tc>
        <w:tc>
          <w:tcPr>
            <w:tcW w:type="dxa" w:w="2500"/>
            <w:tcMar>
              <w:top w:type="dxa" w:w="80"/>
              <w:left w:type="dxa" w:w="120"/>
              <w:bottom w:type="dxa" w:w="80"/>
              <w:right w:type="dxa" w:w="120"/>
            </w:tcMar>
          </w:tcPr>
          <w:p>
            <w:pPr>
              <w:spacing w:after="0" w:line="260"/>
            </w:pPr>
            <w:r>
              <w:rPr>
                <w:rFonts w:ascii="Calibri" w:cs="Calibri" w:eastAsia="Calibri" w:hAnsi="Calibri"/>
                <w:sz w:val="19"/>
                <w:szCs w:val="19"/>
              </w:rPr>
              <w:t xml:space="preserve">Knowledge &amp; Scenario Judgment</w:t>
            </w:r>
          </w:p>
        </w:tc>
        <w:tc>
          <w:tcPr>
            <w:tcW w:type="dxa" w:w="105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20%</w:t>
            </w:r>
          </w:p>
        </w:tc>
        <w:tc>
          <w:tcPr>
            <w:tcW w:type="dxa" w:w="4850"/>
            <w:tcMar>
              <w:top w:type="dxa" w:w="80"/>
              <w:left w:type="dxa" w:w="120"/>
              <w:bottom w:type="dxa" w:w="80"/>
              <w:right w:type="dxa" w:w="120"/>
            </w:tcMar>
          </w:tcPr>
          <w:p>
            <w:pPr>
              <w:spacing w:after="0" w:line="260"/>
            </w:pPr>
            <w:r>
              <w:rPr>
                <w:rFonts w:ascii="Calibri" w:cs="Calibri" w:eastAsia="Calibri" w:hAnsi="Calibri"/>
                <w:sz w:val="19"/>
                <w:szCs w:val="19"/>
              </w:rPr>
              <w:t xml:space="preserve">Timed, written. Judgment scenarios, not definitions.</w:t>
            </w:r>
          </w:p>
        </w:tc>
      </w:tr>
      <w:tr>
        <w:tc>
          <w:tcPr>
            <w:tcW w:type="dxa" w:w="6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2</w:t>
            </w:r>
          </w:p>
        </w:tc>
        <w:tc>
          <w:tcPr>
            <w:tcW w:type="dxa" w:w="25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Practical Build Challenge</w:t>
            </w:r>
          </w:p>
        </w:tc>
        <w:tc>
          <w:tcPr>
            <w:tcW w:type="dxa" w:w="105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35%</w:t>
            </w:r>
          </w:p>
        </w:tc>
        <w:tc>
          <w:tcPr>
            <w:tcW w:type="dxa" w:w="485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Business requirement, unseen. Candidate chooses the approach.</w:t>
            </w:r>
          </w:p>
        </w:tc>
      </w:tr>
      <w:tr>
        <w:tc>
          <w:tcPr>
            <w:tcW w:type="dxa" w:w="6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3</w:t>
            </w:r>
          </w:p>
        </w:tc>
        <w:tc>
          <w:tcPr>
            <w:tcW w:type="dxa" w:w="2500"/>
            <w:tcMar>
              <w:top w:type="dxa" w:w="80"/>
              <w:left w:type="dxa" w:w="120"/>
              <w:bottom w:type="dxa" w:w="80"/>
              <w:right w:type="dxa" w:w="120"/>
            </w:tcMar>
          </w:tcPr>
          <w:p>
            <w:pPr>
              <w:spacing w:after="0" w:line="260"/>
            </w:pPr>
            <w:r>
              <w:rPr>
                <w:rFonts w:ascii="Calibri" w:cs="Calibri" w:eastAsia="Calibri" w:hAnsi="Calibri"/>
                <w:sz w:val="19"/>
                <w:szCs w:val="19"/>
              </w:rPr>
              <w:t xml:space="preserve">Troubleshooting Challenge</w:t>
            </w:r>
          </w:p>
        </w:tc>
        <w:tc>
          <w:tcPr>
            <w:tcW w:type="dxa" w:w="105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30%</w:t>
            </w:r>
          </w:p>
        </w:tc>
        <w:tc>
          <w:tcPr>
            <w:tcW w:type="dxa" w:w="4850"/>
            <w:tcMar>
              <w:top w:type="dxa" w:w="80"/>
              <w:left w:type="dxa" w:w="120"/>
              <w:bottom w:type="dxa" w:w="80"/>
              <w:right w:type="dxa" w:w="120"/>
            </w:tcMar>
          </w:tcPr>
          <w:p>
            <w:pPr>
              <w:spacing w:after="0" w:line="260"/>
            </w:pPr>
            <w:r>
              <w:rPr>
                <w:rFonts w:ascii="Calibri" w:cs="Calibri" w:eastAsia="Calibri" w:hAnsi="Calibri"/>
                <w:sz w:val="19"/>
                <w:szCs w:val="19"/>
              </w:rPr>
              <w:t xml:space="preserve">Live, timeboxed, supervised. Workflow the candidate did not build.</w:t>
            </w:r>
          </w:p>
        </w:tc>
      </w:tr>
      <w:tr>
        <w:tc>
          <w:tcPr>
            <w:tcW w:type="dxa" w:w="6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4</w:t>
            </w:r>
          </w:p>
        </w:tc>
        <w:tc>
          <w:tcPr>
            <w:tcW w:type="dxa" w:w="25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Architecture Walkthrough</w:t>
            </w:r>
          </w:p>
        </w:tc>
        <w:tc>
          <w:tcPr>
            <w:tcW w:type="dxa" w:w="105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15%</w:t>
            </w:r>
          </w:p>
        </w:tc>
        <w:tc>
          <w:tcPr>
            <w:tcW w:type="dxa" w:w="485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Live, 5–10 minutes plus follow-up questions.</w:t>
            </w:r>
          </w:p>
        </w:tc>
      </w:tr>
    </w:tbl>
    <w:p>
      <w:pPr>
        <w:pStyle w:val="Heading2"/>
        <w:spacing w:after="120" w:before="260"/>
      </w:pPr>
      <w:r>
        <w:rPr>
          <w:rFonts w:ascii="Calibri" w:cs="Calibri" w:eastAsia="Calibri" w:hAnsi="Calibri"/>
          <w:b/>
          <w:bCs/>
          <w:color w:val="1F3864"/>
          <w:sz w:val="24"/>
          <w:szCs w:val="24"/>
        </w:rPr>
        <w:t xml:space="preserve">4.4 Domain-to-component coverage</w:t>
      </w:r>
    </w:p>
    <w:p>
      <w:pPr>
        <w:spacing w:after="120" w:line="276"/>
      </w:pPr>
      <w:r>
        <w:rPr>
          <w:rFonts w:ascii="Calibri" w:cs="Calibri" w:eastAsia="Calibri" w:hAnsi="Calibri"/>
          <w:sz w:val="21"/>
          <w:szCs w:val="21"/>
        </w:rPr>
        <w:t xml:space="preserve">Every domain must be evidenced by at least two components. This prevents gaps and prevents any single domain being judged on one artifact.</w:t>
      </w:r>
    </w:p>
    <w:tbl>
      <w:tblPr>
        <w:tblW w:type="dxa" w:w="9000"/>
        <w:tblBorders>
          <w:top w:val="single" w:color="C9D2E0" w:sz="2"/>
          <w:left w:val="single" w:color="C9D2E0" w:sz="2"/>
          <w:bottom w:val="single" w:color="C9D2E0" w:sz="2"/>
          <w:right w:val="single" w:color="C9D2E0" w:sz="2"/>
          <w:insideH w:val="single" w:color="DCE3EC" w:sz="2"/>
          <w:insideV w:val="single" w:color="DCE3EC" w:sz="2"/>
        </w:tblBorders>
      </w:tblPr>
      <w:tblGrid>
        <w:gridCol w:w="3400"/>
        <w:gridCol w:w="1400"/>
        <w:gridCol w:w="1400"/>
        <w:gridCol w:w="1400"/>
        <w:gridCol w:w="1400"/>
      </w:tblGrid>
      <w:tr>
        <w:trPr>
          <w:tblHeader/>
        </w:trPr>
        <w:tc>
          <w:tcPr>
            <w:tcW w:type="dxa" w:w="34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Domain</w:t>
            </w:r>
          </w:p>
        </w:tc>
        <w:tc>
          <w:tcPr>
            <w:tcW w:type="dxa" w:w="1400"/>
            <w:shd w:fill="1F3864" w:val="clear"/>
            <w:tcMar>
              <w:top w:type="dxa" w:w="80"/>
              <w:left w:type="dxa" w:w="120"/>
              <w:bottom w:type="dxa" w:w="80"/>
              <w:right w:type="dxa" w:w="120"/>
            </w:tcMar>
          </w:tcPr>
          <w:p>
            <w:pPr>
              <w:spacing w:after="0" w:line="260"/>
              <w:jc w:val="center"/>
            </w:pPr>
            <w:r>
              <w:rPr>
                <w:rFonts w:ascii="Calibri" w:cs="Calibri" w:eastAsia="Calibri" w:hAnsi="Calibri"/>
                <w:b/>
                <w:bCs/>
                <w:color w:val="FFFFFF"/>
                <w:sz w:val="19"/>
                <w:szCs w:val="19"/>
              </w:rPr>
              <w:t xml:space="preserve">Part 1</w:t>
            </w:r>
          </w:p>
        </w:tc>
        <w:tc>
          <w:tcPr>
            <w:tcW w:type="dxa" w:w="1400"/>
            <w:shd w:fill="1F3864" w:val="clear"/>
            <w:tcMar>
              <w:top w:type="dxa" w:w="80"/>
              <w:left w:type="dxa" w:w="120"/>
              <w:bottom w:type="dxa" w:w="80"/>
              <w:right w:type="dxa" w:w="120"/>
            </w:tcMar>
          </w:tcPr>
          <w:p>
            <w:pPr>
              <w:spacing w:after="0" w:line="260"/>
              <w:jc w:val="center"/>
            </w:pPr>
            <w:r>
              <w:rPr>
                <w:rFonts w:ascii="Calibri" w:cs="Calibri" w:eastAsia="Calibri" w:hAnsi="Calibri"/>
                <w:b/>
                <w:bCs/>
                <w:color w:val="FFFFFF"/>
                <w:sz w:val="19"/>
                <w:szCs w:val="19"/>
              </w:rPr>
              <w:t xml:space="preserve">Part 2</w:t>
            </w:r>
          </w:p>
        </w:tc>
        <w:tc>
          <w:tcPr>
            <w:tcW w:type="dxa" w:w="1400"/>
            <w:shd w:fill="1F3864" w:val="clear"/>
            <w:tcMar>
              <w:top w:type="dxa" w:w="80"/>
              <w:left w:type="dxa" w:w="120"/>
              <w:bottom w:type="dxa" w:w="80"/>
              <w:right w:type="dxa" w:w="120"/>
            </w:tcMar>
          </w:tcPr>
          <w:p>
            <w:pPr>
              <w:spacing w:after="0" w:line="260"/>
              <w:jc w:val="center"/>
            </w:pPr>
            <w:r>
              <w:rPr>
                <w:rFonts w:ascii="Calibri" w:cs="Calibri" w:eastAsia="Calibri" w:hAnsi="Calibri"/>
                <w:b/>
                <w:bCs/>
                <w:color w:val="FFFFFF"/>
                <w:sz w:val="19"/>
                <w:szCs w:val="19"/>
              </w:rPr>
              <w:t xml:space="preserve">Part 3</w:t>
            </w:r>
          </w:p>
        </w:tc>
        <w:tc>
          <w:tcPr>
            <w:tcW w:type="dxa" w:w="1400"/>
            <w:shd w:fill="1F3864" w:val="clear"/>
            <w:tcMar>
              <w:top w:type="dxa" w:w="80"/>
              <w:left w:type="dxa" w:w="120"/>
              <w:bottom w:type="dxa" w:w="80"/>
              <w:right w:type="dxa" w:w="120"/>
            </w:tcMar>
          </w:tcPr>
          <w:p>
            <w:pPr>
              <w:spacing w:after="0" w:line="260"/>
              <w:jc w:val="center"/>
            </w:pPr>
            <w:r>
              <w:rPr>
                <w:rFonts w:ascii="Calibri" w:cs="Calibri" w:eastAsia="Calibri" w:hAnsi="Calibri"/>
                <w:b/>
                <w:bCs/>
                <w:color w:val="FFFFFF"/>
                <w:sz w:val="19"/>
                <w:szCs w:val="19"/>
              </w:rPr>
              <w:t xml:space="preserve">Part 4</w:t>
            </w:r>
          </w:p>
        </w:tc>
      </w:tr>
      <w:tr>
        <w:tc>
          <w:tcPr>
            <w:tcW w:type="dxa" w:w="3400"/>
            <w:tcMar>
              <w:top w:type="dxa" w:w="80"/>
              <w:left w:type="dxa" w:w="120"/>
              <w:bottom w:type="dxa" w:w="80"/>
              <w:right w:type="dxa" w:w="120"/>
            </w:tcMar>
          </w:tcPr>
          <w:p>
            <w:pPr>
              <w:spacing w:after="0" w:line="260"/>
            </w:pPr>
            <w:r>
              <w:rPr>
                <w:rFonts w:ascii="Calibri" w:cs="Calibri" w:eastAsia="Calibri" w:hAnsi="Calibri"/>
                <w:sz w:val="19"/>
                <w:szCs w:val="19"/>
              </w:rPr>
              <w:t xml:space="preserve">1. Data Engineering</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
            </w:r>
          </w:p>
        </w:tc>
      </w:tr>
      <w:tr>
        <w:tc>
          <w:tcPr>
            <w:tcW w:type="dxa" w:w="34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2. Integrations &amp; APIs</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r>
      <w:tr>
        <w:tc>
          <w:tcPr>
            <w:tcW w:type="dxa" w:w="3400"/>
            <w:tcMar>
              <w:top w:type="dxa" w:w="80"/>
              <w:left w:type="dxa" w:w="120"/>
              <w:bottom w:type="dxa" w:w="80"/>
              <w:right w:type="dxa" w:w="120"/>
            </w:tcMar>
          </w:tcPr>
          <w:p>
            <w:pPr>
              <w:spacing w:after="0" w:line="260"/>
            </w:pPr>
            <w:r>
              <w:rPr>
                <w:rFonts w:ascii="Calibri" w:cs="Calibri" w:eastAsia="Calibri" w:hAnsi="Calibri"/>
                <w:sz w:val="19"/>
                <w:szCs w:val="19"/>
              </w:rPr>
              <w:t xml:space="preserve">3. Workflow Architecture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r>
      <w:tr>
        <w:tc>
          <w:tcPr>
            <w:tcW w:type="dxa" w:w="34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4. Logic &amp; State</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r>
      <w:tr>
        <w:tc>
          <w:tcPr>
            <w:tcW w:type="dxa" w:w="3400"/>
            <w:tcMar>
              <w:top w:type="dxa" w:w="80"/>
              <w:left w:type="dxa" w:w="120"/>
              <w:bottom w:type="dxa" w:w="80"/>
              <w:right w:type="dxa" w:w="120"/>
            </w:tcMar>
          </w:tcPr>
          <w:p>
            <w:pPr>
              <w:spacing w:after="0" w:line="260"/>
            </w:pPr>
            <w:r>
              <w:rPr>
                <w:rFonts w:ascii="Calibri" w:cs="Calibri" w:eastAsia="Calibri" w:hAnsi="Calibri"/>
                <w:sz w:val="19"/>
                <w:szCs w:val="19"/>
              </w:rPr>
              <w:t xml:space="preserve">5. Reliability</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r>
      <w:tr>
        <w:tc>
          <w:tcPr>
            <w:tcW w:type="dxa" w:w="34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6. Troubleshooting</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shd w:fill="F5F7FA" w:val="clear"/>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r>
      <w:tr>
        <w:tc>
          <w:tcPr>
            <w:tcW w:type="dxa" w:w="3400"/>
            <w:tcMar>
              <w:top w:type="dxa" w:w="80"/>
              <w:left w:type="dxa" w:w="120"/>
              <w:bottom w:type="dxa" w:w="80"/>
              <w:right w:type="dxa" w:w="120"/>
            </w:tcMar>
          </w:tcPr>
          <w:p>
            <w:pPr>
              <w:spacing w:after="0" w:line="260"/>
            </w:pPr>
            <w:r>
              <w:rPr>
                <w:rFonts w:ascii="Calibri" w:cs="Calibri" w:eastAsia="Calibri" w:hAnsi="Calibri"/>
                <w:sz w:val="19"/>
                <w:szCs w:val="19"/>
              </w:rPr>
              <w:t xml:space="preserve">7. AI Automation</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c>
          <w:tcPr>
            <w:tcW w:type="dxa" w:w="1400"/>
            <w:tcMar>
              <w:top w:type="dxa" w:w="80"/>
              <w:left w:type="dxa" w:w="120"/>
              <w:bottom w:type="dxa" w:w="80"/>
              <w:right w:type="dxa" w:w="120"/>
            </w:tcMar>
          </w:tcPr>
          <w:p>
            <w:pPr>
              <w:spacing w:after="0" w:line="260"/>
              <w:jc w:val="center"/>
            </w:pPr>
            <w:r>
              <w:rPr>
                <w:rFonts w:ascii="Calibri" w:cs="Calibri" w:eastAsia="Calibri" w:hAnsi="Calibri"/>
                <w:sz w:val="19"/>
                <w:szCs w:val="19"/>
              </w:rPr>
              <w:t xml:space="preserve">●</w:t>
            </w:r>
          </w:p>
        </w:tc>
      </w:tr>
    </w:tbl>
    <w:p>
      <w:pPr>
        <w:pStyle w:val="Heading2"/>
        <w:spacing w:after="120" w:before="260"/>
      </w:pPr>
      <w:r>
        <w:rPr>
          <w:rFonts w:ascii="Calibri" w:cs="Calibri" w:eastAsia="Calibri" w:hAnsi="Calibri"/>
          <w:b/>
          <w:bCs/>
          <w:color w:val="1F3864"/>
          <w:sz w:val="24"/>
          <w:szCs w:val="24"/>
        </w:rPr>
        <w:t xml:space="preserve">4.5 Part 2 — Practical Build Challenge</w:t>
      </w:r>
    </w:p>
    <w:p>
      <w:pPr>
        <w:spacing w:after="120" w:line="276"/>
      </w:pPr>
      <w:r>
        <w:rPr>
          <w:rFonts w:ascii="Calibri" w:cs="Calibri" w:eastAsia="Calibri" w:hAnsi="Calibri"/>
          <w:sz w:val="21"/>
          <w:szCs w:val="21"/>
        </w:rPr>
        <w:t xml:space="preserve">The candidate receives a business requirement they have not previously built. </w:t>
      </w:r>
      <w:r>
        <w:rPr>
          <w:rFonts w:ascii="Calibri" w:cs="Calibri" w:eastAsia="Calibri" w:hAnsi="Calibri"/>
          <w:b/>
          <w:bCs/>
          <w:sz w:val="21"/>
          <w:szCs w:val="21"/>
        </w:rPr>
        <w:t xml:space="preserve">No node-level instructions are given. </w:t>
      </w:r>
      <w:r>
        <w:rPr>
          <w:rFonts w:ascii="Calibri" w:cs="Calibri" w:eastAsia="Calibri" w:hAnsi="Calibri"/>
          <w:sz w:val="21"/>
          <w:szCs w:val="21"/>
        </w:rPr>
        <w:t xml:space="preserve">The assessment is whether they can translate a business requirement into an automation design.</w:t>
      </w:r>
    </w:p>
    <w:p>
      <w:pPr>
        <w:spacing w:after="120" w:line="276"/>
      </w:pPr>
      <w:r>
        <w:rPr>
          <w:rFonts w:ascii="Calibri" w:cs="Calibri" w:eastAsia="Calibri" w:hAnsi="Calibri"/>
          <w:sz w:val="21"/>
          <w:szCs w:val="21"/>
        </w:rPr>
        <w:t xml:space="preserve">Reference scenario shape (rotated each attempt): a service company receives work requests containing customer name, email, service type, priority, location, and description. The system must validate required information, normalise input, look up external information through an API, route the request, prevent duplicate processing, store the result, handle API failure, and produce a final notification.</w:t>
      </w:r>
    </w:p>
    <w:p>
      <w:pPr>
        <w:pStyle w:val="Heading2"/>
        <w:spacing w:after="120" w:before="260"/>
      </w:pPr>
      <w:r>
        <w:rPr>
          <w:rFonts w:ascii="Calibri" w:cs="Calibri" w:eastAsia="Calibri" w:hAnsi="Calibri"/>
          <w:b/>
          <w:bCs/>
          <w:color w:val="1F3864"/>
          <w:sz w:val="24"/>
          <w:szCs w:val="24"/>
        </w:rPr>
        <w:t xml:space="preserve">4.6 Part 3 — Troubleshooting Challenge</w:t>
      </w:r>
    </w:p>
    <w:p>
      <w:pPr>
        <w:spacing w:after="120" w:line="276"/>
      </w:pPr>
      <w:r>
        <w:rPr>
          <w:rFonts w:ascii="Calibri" w:cs="Calibri" w:eastAsia="Calibri" w:hAnsi="Calibri"/>
          <w:sz w:val="21"/>
          <w:szCs w:val="21"/>
        </w:rPr>
        <w:t xml:space="preserve">The candidate receives a workflow they did not build, with the instruction: this workflow has been producing inconsistent results. Investigate it and produce a corrected version plus a short diagnostic report.</w:t>
      </w:r>
    </w:p>
    <w:tbl>
      <w:tblPr>
        <w:tblW w:type="dxa" w:w="9000"/>
        <w:tblBorders>
          <w:top w:val="single" w:color="C9D2E0" w:sz="2"/>
          <w:left w:val="single" w:color="1F3864" w:sz="18"/>
          <w:bottom w:val="single" w:color="C9D2E0" w:sz="2"/>
          <w:right w:val="single" w:color="C9D2E0" w:sz="2"/>
          <w:insideH w:val="none"/>
          <w:insideV w:val="none"/>
        </w:tblBorders>
      </w:tblPr>
      <w:tblGrid>
        <w:gridCol w:w="9000"/>
      </w:tblGrid>
      <w:tr>
        <w:tc>
          <w:tcPr>
            <w:tcW w:type="dxa" w:w="9000"/>
            <w:shd w:fill="EDF1F7" w:val="clear"/>
            <w:tcMar>
              <w:top w:type="dxa" w:w="140"/>
              <w:left w:type="dxa" w:w="180"/>
              <w:bottom w:type="dxa" w:w="140"/>
              <w:right w:type="dxa" w:w="180"/>
            </w:tcMar>
          </w:tcPr>
          <w:p>
            <w:pPr>
              <w:spacing w:after="0" w:line="276"/>
            </w:pPr>
            <w:r>
              <w:rPr>
                <w:rFonts w:ascii="Calibri" w:cs="Calibri" w:eastAsia="Calibri" w:hAnsi="Calibri"/>
                <w:b/>
                <w:bCs/>
                <w:sz w:val="21"/>
                <w:szCs w:val="21"/>
              </w:rPr>
              <w:t xml:space="preserve">The number of defects is not disclosed. </w:t>
            </w:r>
            <w:r>
              <w:rPr>
                <w:rFonts w:ascii="Calibri" w:cs="Calibri" w:eastAsia="Calibri" w:hAnsi="Calibri"/>
                <w:sz w:val="21"/>
                <w:szCs w:val="21"/>
              </w:rPr>
              <w:t xml:space="preserve">The task is to determine whether the system is behaving correctly — not to find a stated quantity of bugs.</w:t>
            </w:r>
          </w:p>
        </w:tc>
      </w:tr>
    </w:tbl>
    <w:p>
      <w:pPr>
        <w:spacing w:after="120"/>
      </w:pPr>
      <w:r>
        <w:rPr>
          <w:sz w:val="2"/>
          <w:szCs w:val="2"/>
        </w:rPr>
        <w:t xml:space="preserve"/>
      </w:r>
    </w:p>
    <w:p>
      <w:pPr>
        <w:spacing w:after="120" w:line="276"/>
      </w:pPr>
      <w:r>
        <w:rPr>
          <w:rFonts w:ascii="Calibri" w:cs="Calibri" w:eastAsia="Calibri" w:hAnsi="Calibri"/>
          <w:sz w:val="21"/>
          <w:szCs w:val="21"/>
        </w:rPr>
        <w:t xml:space="preserve">Defect bank (a rotating subset is seeded per attempt):</w:t>
      </w:r>
    </w:p>
    <w:p>
      <w:pPr>
        <w:pStyle w:val="ListParagraph"/>
        <w:numPr>
          <w:ilvl w:val="0"/>
          <w:numId w:val="2"/>
        </w:numPr>
        <w:spacing w:after="80" w:line="276"/>
      </w:pPr>
      <w:r>
        <w:rPr>
          <w:rFonts w:ascii="Calibri" w:cs="Calibri" w:eastAsia="Calibri" w:hAnsi="Calibri"/>
          <w:sz w:val="21"/>
          <w:szCs w:val="21"/>
        </w:rPr>
        <w:t xml:space="preserve">a field renamed upstream but still referenced downstream</w:t>
      </w:r>
    </w:p>
    <w:p>
      <w:pPr>
        <w:pStyle w:val="ListParagraph"/>
        <w:numPr>
          <w:ilvl w:val="0"/>
          <w:numId w:val="2"/>
        </w:numPr>
        <w:spacing w:after="80" w:line="276"/>
      </w:pPr>
      <w:r>
        <w:rPr>
          <w:rFonts w:ascii="Calibri" w:cs="Calibri" w:eastAsia="Calibri" w:hAnsi="Calibri"/>
          <w:sz w:val="21"/>
          <w:szCs w:val="21"/>
        </w:rPr>
        <w:t xml:space="preserve">wrong IF operator (contains where equals is required, or the reverse)</w:t>
      </w:r>
    </w:p>
    <w:p>
      <w:pPr>
        <w:pStyle w:val="ListParagraph"/>
        <w:numPr>
          <w:ilvl w:val="0"/>
          <w:numId w:val="2"/>
        </w:numPr>
        <w:spacing w:after="80" w:line="276"/>
      </w:pPr>
      <w:r>
        <w:rPr>
          <w:rFonts w:ascii="Calibri" w:cs="Calibri" w:eastAsia="Calibri" w:hAnsi="Calibri"/>
          <w:sz w:val="21"/>
          <w:szCs w:val="21"/>
        </w:rPr>
        <w:t xml:space="preserve">missing fallback route on a Switch</w:t>
      </w:r>
    </w:p>
    <w:p>
      <w:pPr>
        <w:pStyle w:val="ListParagraph"/>
        <w:numPr>
          <w:ilvl w:val="0"/>
          <w:numId w:val="2"/>
        </w:numPr>
        <w:spacing w:after="80" w:line="276"/>
      </w:pPr>
      <w:r>
        <w:rPr>
          <w:rFonts w:ascii="Calibri" w:cs="Calibri" w:eastAsia="Calibri" w:hAnsi="Calibri"/>
          <w:sz w:val="21"/>
          <w:szCs w:val="21"/>
        </w:rPr>
        <w:t xml:space="preserve">duplicate insert with no idempotency guard</w:t>
      </w:r>
    </w:p>
    <w:p>
      <w:pPr>
        <w:pStyle w:val="ListParagraph"/>
        <w:numPr>
          <w:ilvl w:val="0"/>
          <w:numId w:val="2"/>
        </w:numPr>
        <w:spacing w:after="80" w:line="276"/>
      </w:pPr>
      <w:r>
        <w:rPr>
          <w:rFonts w:ascii="Calibri" w:cs="Calibri" w:eastAsia="Calibri" w:hAnsi="Calibri"/>
          <w:sz w:val="21"/>
          <w:szCs w:val="21"/>
        </w:rPr>
        <w:t xml:space="preserve">retry configured on a permanent 4xx error</w:t>
      </w:r>
    </w:p>
    <w:p>
      <w:pPr>
        <w:pStyle w:val="ListParagraph"/>
        <w:numPr>
          <w:ilvl w:val="0"/>
          <w:numId w:val="2"/>
        </w:numPr>
        <w:spacing w:after="80" w:line="276"/>
      </w:pPr>
      <w:r>
        <w:rPr>
          <w:rFonts w:ascii="Calibri" w:cs="Calibri" w:eastAsia="Calibri" w:hAnsi="Calibri"/>
          <w:sz w:val="21"/>
          <w:szCs w:val="21"/>
        </w:rPr>
        <w:t xml:space="preserve">a branch that never reconnects to the output path</w:t>
      </w:r>
    </w:p>
    <w:p>
      <w:pPr>
        <w:pStyle w:val="ListParagraph"/>
        <w:numPr>
          <w:ilvl w:val="0"/>
          <w:numId w:val="2"/>
        </w:numPr>
        <w:spacing w:after="80" w:line="276"/>
      </w:pPr>
      <w:r>
        <w:rPr>
          <w:rFonts w:ascii="Calibri" w:cs="Calibri" w:eastAsia="Calibri" w:hAnsi="Calibri"/>
          <w:sz w:val="21"/>
          <w:szCs w:val="21"/>
        </w:rPr>
        <w:t xml:space="preserve">malformed AI structured output passed downstream unvalidated</w:t>
      </w:r>
    </w:p>
    <w:p>
      <w:pPr>
        <w:pStyle w:val="ListParagraph"/>
        <w:numPr>
          <w:ilvl w:val="0"/>
          <w:numId w:val="2"/>
        </w:numPr>
        <w:spacing w:after="80" w:line="276"/>
      </w:pPr>
      <w:r>
        <w:rPr>
          <w:rFonts w:ascii="Calibri" w:cs="Calibri" w:eastAsia="Calibri" w:hAnsi="Calibri"/>
          <w:sz w:val="21"/>
          <w:szCs w:val="21"/>
        </w:rPr>
        <w:t xml:space="preserve">missing-data path allowed to continue rather than stop</w:t>
      </w:r>
    </w:p>
    <w:p>
      <w:pPr>
        <w:pStyle w:val="ListParagraph"/>
        <w:numPr>
          <w:ilvl w:val="0"/>
          <w:numId w:val="2"/>
        </w:numPr>
        <w:spacing w:after="80" w:line="276"/>
      </w:pPr>
      <w:r>
        <w:rPr>
          <w:rFonts w:ascii="Calibri" w:cs="Calibri" w:eastAsia="Calibri" w:hAnsi="Calibri"/>
          <w:sz w:val="21"/>
          <w:szCs w:val="21"/>
        </w:rPr>
        <w:t xml:space="preserve">API result trusted without validation</w:t>
      </w:r>
    </w:p>
    <w:p>
      <w:pPr>
        <w:pStyle w:val="ListParagraph"/>
        <w:numPr>
          <w:ilvl w:val="0"/>
          <w:numId w:val="2"/>
        </w:numPr>
        <w:spacing w:after="80" w:line="276"/>
      </w:pPr>
      <w:r>
        <w:rPr>
          <w:rFonts w:ascii="Calibri" w:cs="Calibri" w:eastAsia="Calibri" w:hAnsi="Calibri"/>
          <w:sz w:val="21"/>
          <w:szCs w:val="21"/>
        </w:rPr>
        <w:t xml:space="preserve">silent partial failure: fewer records leave than entered</w:t>
      </w:r>
    </w:p>
    <w:p>
      <w:pPr>
        <w:spacing w:after="120" w:line="276"/>
      </w:pPr>
      <w:r>
        <w:rPr>
          <w:rFonts w:ascii="Calibri" w:cs="Calibri" w:eastAsia="Calibri" w:hAnsi="Calibri"/>
          <w:sz w:val="21"/>
          <w:szCs w:val="21"/>
        </w:rPr>
        <w:t xml:space="preserve">All troubleshooting workflows run on pinned or sandboxed data. </w:t>
      </w:r>
      <w:r>
        <w:rPr>
          <w:rFonts w:ascii="Calibri" w:cs="Calibri" w:eastAsia="Calibri" w:hAnsi="Calibri"/>
          <w:b/>
          <w:bCs/>
          <w:sz w:val="21"/>
          <w:szCs w:val="21"/>
        </w:rPr>
        <w:t xml:space="preserve">No candidate spends assessment time configuring credentials.</w:t>
      </w:r>
    </w:p>
    <w:p>
      <w:pPr>
        <w:pStyle w:val="Heading2"/>
        <w:spacing w:after="120" w:before="260"/>
      </w:pPr>
      <w:r>
        <w:rPr>
          <w:rFonts w:ascii="Calibri" w:cs="Calibri" w:eastAsia="Calibri" w:hAnsi="Calibri"/>
          <w:b/>
          <w:bCs/>
          <w:color w:val="1F3864"/>
          <w:sz w:val="24"/>
          <w:szCs w:val="24"/>
        </w:rPr>
        <w:t xml:space="preserve">4.7 Part 4 — Architecture Walkthrough</w:t>
      </w:r>
    </w:p>
    <w:p>
      <w:pPr>
        <w:spacing w:after="120" w:line="276"/>
      </w:pPr>
      <w:r>
        <w:rPr>
          <w:rFonts w:ascii="Calibri" w:cs="Calibri" w:eastAsia="Calibri" w:hAnsi="Calibri"/>
          <w:sz w:val="21"/>
          <w:szCs w:val="21"/>
        </w:rPr>
        <w:t xml:space="preserve">Five to ten minutes, plus assessor follow-up. The candidate covers: the problem solved, the design, major data structures, where decisions occur, what can fail, what happens when it fails, how duplicate processing is prevented, what they would monitor, and why they chose this design over alternatives.</w:t>
      </w:r>
    </w:p>
    <w:p>
      <w:pPr>
        <w:spacing w:after="120" w:line="276"/>
      </w:pPr>
      <w:r>
        <w:rPr>
          <w:rFonts w:ascii="Calibri" w:cs="Calibri" w:eastAsia="Calibri" w:hAnsi="Calibri"/>
          <w:b/>
          <w:bCs/>
          <w:sz w:val="21"/>
          <w:szCs w:val="21"/>
        </w:rPr>
        <w:t xml:space="preserve">This component also serves as authorship verification. </w:t>
      </w:r>
      <w:r>
        <w:rPr>
          <w:rFonts w:ascii="Calibri" w:cs="Calibri" w:eastAsia="Calibri" w:hAnsi="Calibri"/>
          <w:sz w:val="21"/>
          <w:szCs w:val="21"/>
        </w:rPr>
        <w:t xml:space="preserve">A candidate who cannot answer follow-up questions about their own submission has not demonstrated the competency, regardless of the artifact’s quality. This is stated to candidates in advance.</w:t>
      </w:r>
    </w:p>
    <w:p>
      <w:pPr>
        <w:pStyle w:val="Heading2"/>
        <w:spacing w:after="120" w:before="260"/>
      </w:pPr>
      <w:r>
        <w:rPr>
          <w:rFonts w:ascii="Calibri" w:cs="Calibri" w:eastAsia="Calibri" w:hAnsi="Calibri"/>
          <w:b/>
          <w:bCs/>
          <w:color w:val="1F3864"/>
          <w:sz w:val="24"/>
          <w:szCs w:val="24"/>
        </w:rPr>
        <w:t xml:space="preserve">4.8 Passing standard — provisional</w:t>
      </w:r>
    </w:p>
    <w:p>
      <w:pPr>
        <w:spacing w:after="120" w:line="276"/>
      </w:pPr>
      <w:r>
        <w:rPr>
          <w:rFonts w:ascii="Calibri" w:cs="Calibri" w:eastAsia="Calibri" w:hAnsi="Calibri"/>
          <w:sz w:val="21"/>
          <w:szCs w:val="21"/>
        </w:rPr>
        <w:t xml:space="preserve">Thresholds for the first assessment cycle are provisional and will be confirmed after calibration (Section 9).</w:t>
      </w:r>
    </w:p>
    <w:tbl>
      <w:tblPr>
        <w:tblW w:type="dxa" w:w="9000"/>
        <w:tblBorders>
          <w:top w:val="single" w:color="C9D2E0" w:sz="2"/>
          <w:left w:val="single" w:color="C9D2E0" w:sz="2"/>
          <w:bottom w:val="single" w:color="C9D2E0" w:sz="2"/>
          <w:right w:val="single" w:color="C9D2E0" w:sz="2"/>
          <w:insideH w:val="single" w:color="DCE3EC" w:sz="2"/>
          <w:insideV w:val="single" w:color="DCE3EC" w:sz="2"/>
        </w:tblBorders>
      </w:tblPr>
      <w:tblGrid>
        <w:gridCol w:w="5400"/>
        <w:gridCol w:w="3600"/>
      </w:tblGrid>
      <w:tr>
        <w:trPr>
          <w:tblHeader/>
        </w:trPr>
        <w:tc>
          <w:tcPr>
            <w:tcW w:type="dxa" w:w="54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3600"/>
            <w:shd w:fill="1F3864" w:val="clear"/>
            <w:tcMar>
              <w:top w:type="dxa" w:w="80"/>
              <w:left w:type="dxa" w:w="120"/>
              <w:bottom w:type="dxa" w:w="80"/>
              <w:right w:type="dxa" w:w="120"/>
            </w:tcMar>
          </w:tcPr>
          <w:p>
            <w:pPr>
              <w:spacing w:after="0" w:line="260"/>
              <w:jc w:val="center"/>
            </w:pPr>
            <w:r>
              <w:rPr>
                <w:rFonts w:ascii="Calibri" w:cs="Calibri" w:eastAsia="Calibri" w:hAnsi="Calibri"/>
                <w:b/>
                <w:bCs/>
                <w:color w:val="FFFFFF"/>
                <w:sz w:val="19"/>
                <w:szCs w:val="19"/>
              </w:rPr>
              <w:t xml:space="preserve">Provisional threshold</w:t>
            </w:r>
          </w:p>
        </w:tc>
      </w:tr>
      <w:tr>
        <w:tc>
          <w:tcPr>
            <w:tcW w:type="dxa" w:w="5400"/>
            <w:tcMar>
              <w:top w:type="dxa" w:w="80"/>
              <w:left w:type="dxa" w:w="120"/>
              <w:bottom w:type="dxa" w:w="80"/>
              <w:right w:type="dxa" w:w="120"/>
            </w:tcMar>
          </w:tcPr>
          <w:p>
            <w:pPr>
              <w:spacing w:after="0" w:line="260"/>
            </w:pPr>
            <w:r>
              <w:rPr>
                <w:rFonts w:ascii="Calibri" w:cs="Calibri" w:eastAsia="Calibri" w:hAnsi="Calibri"/>
                <w:b/>
                <w:bCs/>
                <w:sz w:val="19"/>
                <w:szCs w:val="19"/>
              </w:rPr>
              <w:t xml:space="preserve">Overall score</w:t>
            </w:r>
          </w:p>
        </w:tc>
        <w:tc>
          <w:tcPr>
            <w:tcW w:type="dxa" w:w="3600"/>
            <w:tcMar>
              <w:top w:type="dxa" w:w="80"/>
              <w:left w:type="dxa" w:w="120"/>
              <w:bottom w:type="dxa" w:w="80"/>
              <w:right w:type="dxa" w:w="120"/>
            </w:tcMar>
          </w:tcPr>
          <w:p>
            <w:pPr>
              <w:spacing w:after="0" w:line="260"/>
              <w:jc w:val="center"/>
            </w:pPr>
            <w:r>
              <w:rPr>
                <w:rFonts w:ascii="Calibri" w:cs="Calibri" w:eastAsia="Calibri" w:hAnsi="Calibri"/>
                <w:b w:val="false"/>
                <w:bCs w:val="false"/>
                <w:sz w:val="19"/>
                <w:szCs w:val="19"/>
              </w:rPr>
              <w:t xml:space="preserve">75%</w:t>
            </w:r>
          </w:p>
        </w:tc>
      </w:tr>
      <w:tr>
        <w:tc>
          <w:tcPr>
            <w:tcW w:type="dxa" w:w="5400"/>
            <w:shd w:fill="F5F7FA"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Part 2 — Practical Build</w:t>
            </w:r>
          </w:p>
        </w:tc>
        <w:tc>
          <w:tcPr>
            <w:tcW w:type="dxa" w:w="3600"/>
            <w:shd w:fill="F5F7FA" w:val="clear"/>
            <w:tcMar>
              <w:top w:type="dxa" w:w="80"/>
              <w:left w:type="dxa" w:w="120"/>
              <w:bottom w:type="dxa" w:w="80"/>
              <w:right w:type="dxa" w:w="120"/>
            </w:tcMar>
          </w:tcPr>
          <w:p>
            <w:pPr>
              <w:spacing w:after="0" w:line="260"/>
              <w:jc w:val="center"/>
            </w:pPr>
            <w:r>
              <w:rPr>
                <w:rFonts w:ascii="Calibri" w:cs="Calibri" w:eastAsia="Calibri" w:hAnsi="Calibri"/>
                <w:b w:val="false"/>
                <w:bCs w:val="false"/>
                <w:sz w:val="19"/>
                <w:szCs w:val="19"/>
              </w:rPr>
              <w:t xml:space="preserve">70% minimum</w:t>
            </w:r>
          </w:p>
        </w:tc>
      </w:tr>
      <w:tr>
        <w:tc>
          <w:tcPr>
            <w:tcW w:type="dxa" w:w="5400"/>
            <w:tcMar>
              <w:top w:type="dxa" w:w="80"/>
              <w:left w:type="dxa" w:w="120"/>
              <w:bottom w:type="dxa" w:w="80"/>
              <w:right w:type="dxa" w:w="120"/>
            </w:tcMar>
          </w:tcPr>
          <w:p>
            <w:pPr>
              <w:spacing w:after="0" w:line="260"/>
            </w:pPr>
            <w:r>
              <w:rPr>
                <w:rFonts w:ascii="Calibri" w:cs="Calibri" w:eastAsia="Calibri" w:hAnsi="Calibri"/>
                <w:b/>
                <w:bCs/>
                <w:sz w:val="19"/>
                <w:szCs w:val="19"/>
              </w:rPr>
              <w:t xml:space="preserve">Part 3 — Troubleshooting</w:t>
            </w:r>
          </w:p>
        </w:tc>
        <w:tc>
          <w:tcPr>
            <w:tcW w:type="dxa" w:w="3600"/>
            <w:tcMar>
              <w:top w:type="dxa" w:w="80"/>
              <w:left w:type="dxa" w:w="120"/>
              <w:bottom w:type="dxa" w:w="80"/>
              <w:right w:type="dxa" w:w="120"/>
            </w:tcMar>
          </w:tcPr>
          <w:p>
            <w:pPr>
              <w:spacing w:after="0" w:line="260"/>
              <w:jc w:val="center"/>
            </w:pPr>
            <w:r>
              <w:rPr>
                <w:rFonts w:ascii="Calibri" w:cs="Calibri" w:eastAsia="Calibri" w:hAnsi="Calibri"/>
                <w:b w:val="false"/>
                <w:bCs w:val="false"/>
                <w:sz w:val="19"/>
                <w:szCs w:val="19"/>
              </w:rPr>
              <w:t xml:space="preserve">70% minimum</w:t>
            </w:r>
          </w:p>
        </w:tc>
      </w:tr>
      <w:tr>
        <w:tc>
          <w:tcPr>
            <w:tcW w:type="dxa" w:w="5400"/>
            <w:shd w:fill="F5F7FA"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No domain below</w:t>
            </w:r>
          </w:p>
        </w:tc>
        <w:tc>
          <w:tcPr>
            <w:tcW w:type="dxa" w:w="3600"/>
            <w:shd w:fill="F5F7FA" w:val="clear"/>
            <w:tcMar>
              <w:top w:type="dxa" w:w="80"/>
              <w:left w:type="dxa" w:w="120"/>
              <w:bottom w:type="dxa" w:w="80"/>
              <w:right w:type="dxa" w:w="120"/>
            </w:tcMar>
          </w:tcPr>
          <w:p>
            <w:pPr>
              <w:spacing w:after="0" w:line="260"/>
              <w:jc w:val="center"/>
            </w:pPr>
            <w:r>
              <w:rPr>
                <w:rFonts w:ascii="Calibri" w:cs="Calibri" w:eastAsia="Calibri" w:hAnsi="Calibri"/>
                <w:b w:val="false"/>
                <w:bCs w:val="false"/>
                <w:sz w:val="19"/>
                <w:szCs w:val="19"/>
              </w:rPr>
              <w:t xml:space="preserve">50%</w:t>
            </w:r>
          </w:p>
        </w:tc>
      </w:tr>
    </w:tbl>
    <w:p>
      <w:pPr>
        <w:spacing w:after="120"/>
      </w:pPr>
      <w:r>
        <w:rPr>
          <w:sz w:val="2"/>
          <w:szCs w:val="2"/>
        </w:rPr>
        <w:t xml:space="preserve"/>
      </w:r>
    </w:p>
    <w:p>
      <w:pPr>
        <w:spacing w:after="120" w:line="276"/>
      </w:pPr>
      <w:r>
        <w:rPr>
          <w:rFonts w:ascii="Calibri" w:cs="Calibri" w:eastAsia="Calibri" w:hAnsi="Calibri"/>
          <w:b/>
          <w:bCs/>
          <w:sz w:val="21"/>
          <w:szCs w:val="21"/>
        </w:rPr>
        <w:t xml:space="preserve">Minimum scores on Parts 2 and 3 are non-compensatory. </w:t>
      </w:r>
      <w:r>
        <w:rPr>
          <w:rFonts w:ascii="Calibri" w:cs="Calibri" w:eastAsia="Calibri" w:hAnsi="Calibri"/>
          <w:sz w:val="21"/>
          <w:szCs w:val="21"/>
        </w:rPr>
        <w:t xml:space="preserve">Strong theory cannot offset weak hands-on ability. A candidate who cannot diagnose an unfamiliar fault does not hold this certification.</w:t>
      </w:r>
    </w:p>
    <w:p>
      <w:pPr>
        <w:pStyle w:val="Heading2"/>
        <w:spacing w:after="120" w:before="260"/>
      </w:pPr>
      <w:r>
        <w:rPr>
          <w:rFonts w:ascii="Calibri" w:cs="Calibri" w:eastAsia="Calibri" w:hAnsi="Calibri"/>
          <w:b/>
          <w:bCs/>
          <w:color w:val="1F3864"/>
          <w:sz w:val="24"/>
          <w:szCs w:val="24"/>
        </w:rPr>
        <w:t xml:space="preserve">4.9 Critical safety failures</w:t>
      </w:r>
    </w:p>
    <w:p>
      <w:pPr>
        <w:spacing w:after="120" w:line="276"/>
      </w:pPr>
      <w:r>
        <w:rPr>
          <w:rFonts w:ascii="Calibri" w:cs="Calibri" w:eastAsia="Calibri" w:hAnsi="Calibri"/>
          <w:sz w:val="21"/>
          <w:szCs w:val="21"/>
        </w:rPr>
        <w:t xml:space="preserve">Certain outcomes trigger </w:t>
      </w:r>
      <w:r>
        <w:rPr>
          <w:rFonts w:ascii="Calibri" w:cs="Calibri" w:eastAsia="Calibri" w:hAnsi="Calibri"/>
          <w:b/>
          <w:bCs/>
          <w:sz w:val="21"/>
          <w:szCs w:val="21"/>
        </w:rPr>
        <w:t xml:space="preserve">Remediation Required</w:t>
      </w:r>
      <w:r>
        <w:rPr>
          <w:rFonts w:ascii="Calibri" w:cs="Calibri" w:eastAsia="Calibri" w:hAnsi="Calibri"/>
          <w:sz w:val="21"/>
          <w:szCs w:val="21"/>
        </w:rPr>
        <w:t xml:space="preserve"> regardless of overall score:</w:t>
      </w:r>
    </w:p>
    <w:p>
      <w:pPr>
        <w:pStyle w:val="ListParagraph"/>
        <w:numPr>
          <w:ilvl w:val="0"/>
          <w:numId w:val="2"/>
        </w:numPr>
        <w:spacing w:after="80" w:line="276"/>
      </w:pPr>
      <w:r>
        <w:rPr>
          <w:rFonts w:ascii="Calibri" w:cs="Calibri" w:eastAsia="Calibri" w:hAnsi="Calibri"/>
          <w:sz w:val="21"/>
          <w:szCs w:val="21"/>
        </w:rPr>
        <w:t xml:space="preserve">exposing credentials, API keys, or tokens in any submitted artifact;</w:t>
      </w:r>
    </w:p>
    <w:p>
      <w:pPr>
        <w:pStyle w:val="ListParagraph"/>
        <w:numPr>
          <w:ilvl w:val="0"/>
          <w:numId w:val="2"/>
        </w:numPr>
        <w:spacing w:after="80" w:line="276"/>
      </w:pPr>
      <w:r>
        <w:rPr>
          <w:rFonts w:ascii="Calibri" w:cs="Calibri" w:eastAsia="Calibri" w:hAnsi="Calibri"/>
          <w:sz w:val="21"/>
          <w:szCs w:val="21"/>
        </w:rPr>
        <w:t xml:space="preserve">sending sensitive or unnecessary personal data to an AI provider;</w:t>
      </w:r>
    </w:p>
    <w:p>
      <w:pPr>
        <w:pStyle w:val="ListParagraph"/>
        <w:numPr>
          <w:ilvl w:val="0"/>
          <w:numId w:val="2"/>
        </w:numPr>
        <w:spacing w:after="80" w:line="276"/>
      </w:pPr>
      <w:r>
        <w:rPr>
          <w:rFonts w:ascii="Calibri" w:cs="Calibri" w:eastAsia="Calibri" w:hAnsi="Calibri"/>
          <w:sz w:val="21"/>
          <w:szCs w:val="21"/>
        </w:rPr>
        <w:t xml:space="preserve">deleting or modifying production-like data without appropriate safeguards;</w:t>
      </w:r>
    </w:p>
    <w:p>
      <w:pPr>
        <w:pStyle w:val="ListParagraph"/>
        <w:numPr>
          <w:ilvl w:val="0"/>
          <w:numId w:val="2"/>
        </w:numPr>
        <w:spacing w:after="80" w:line="276"/>
      </w:pPr>
      <w:r>
        <w:rPr>
          <w:rFonts w:ascii="Calibri" w:cs="Calibri" w:eastAsia="Calibri" w:hAnsi="Calibri"/>
          <w:sz w:val="21"/>
          <w:szCs w:val="21"/>
        </w:rPr>
        <w:t xml:space="preserve">designing a workflow that silently discards failed records;</w:t>
      </w:r>
    </w:p>
    <w:p>
      <w:pPr>
        <w:pStyle w:val="ListParagraph"/>
        <w:numPr>
          <w:ilvl w:val="0"/>
          <w:numId w:val="2"/>
        </w:numPr>
        <w:spacing w:after="80" w:line="276"/>
      </w:pPr>
      <w:r>
        <w:rPr>
          <w:rFonts w:ascii="Calibri" w:cs="Calibri" w:eastAsia="Calibri" w:hAnsi="Calibri"/>
          <w:sz w:val="21"/>
          <w:szCs w:val="21"/>
        </w:rPr>
        <w:t xml:space="preserve">leaving a critical action entirely dependent on unvalidated AI output.</w:t>
      </w:r>
    </w:p>
    <w:p>
      <w:pPr>
        <w:spacing w:after="120" w:line="276"/>
      </w:pPr>
      <w:r>
        <w:rPr>
          <w:rFonts w:ascii="Calibri" w:cs="Calibri" w:eastAsia="Calibri" w:hAnsi="Calibri"/>
          <w:sz w:val="21"/>
          <w:szCs w:val="21"/>
        </w:rPr>
        <w:t xml:space="preserve">These are professional standards, not scoring criteria. They are published to candidates before assessment.</w:t>
      </w:r>
    </w:p>
    <w:p>
      <w:pPr>
        <w:pStyle w:val="Heading2"/>
        <w:spacing w:after="120" w:before="260"/>
      </w:pPr>
      <w:r>
        <w:rPr>
          <w:rFonts w:ascii="Calibri" w:cs="Calibri" w:eastAsia="Calibri" w:hAnsi="Calibri"/>
          <w:b/>
          <w:bCs/>
          <w:color w:val="1F3864"/>
          <w:sz w:val="24"/>
          <w:szCs w:val="24"/>
        </w:rPr>
        <w:t xml:space="preserve">4.10 Outcomes</w:t>
      </w:r>
    </w:p>
    <w:tbl>
      <w:tblPr>
        <w:tblW w:type="dxa" w:w="9000"/>
        <w:tblBorders>
          <w:top w:val="single" w:color="C9D2E0" w:sz="2"/>
          <w:left w:val="single" w:color="C9D2E0" w:sz="2"/>
          <w:bottom w:val="single" w:color="C9D2E0" w:sz="2"/>
          <w:right w:val="single" w:color="C9D2E0" w:sz="2"/>
          <w:insideH w:val="single" w:color="DCE3EC" w:sz="2"/>
          <w:insideV w:val="single" w:color="DCE3EC" w:sz="2"/>
        </w:tblBorders>
      </w:tblPr>
      <w:tblGrid>
        <w:gridCol w:w="2800"/>
        <w:gridCol w:w="6200"/>
      </w:tblGrid>
      <w:tr>
        <w:trPr>
          <w:tblHeader/>
        </w:trPr>
        <w:tc>
          <w:tcPr>
            <w:tcW w:type="dxa" w:w="28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Outcome</w:t>
            </w:r>
          </w:p>
        </w:tc>
        <w:tc>
          <w:tcPr>
            <w:tcW w:type="dxa" w:w="62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Meaning</w:t>
            </w:r>
          </w:p>
        </w:tc>
      </w:tr>
      <w:tr>
        <w:tc>
          <w:tcPr>
            <w:tcW w:type="dxa" w:w="2800"/>
            <w:tcMar>
              <w:top w:type="dxa" w:w="80"/>
              <w:left w:type="dxa" w:w="120"/>
              <w:bottom w:type="dxa" w:w="80"/>
              <w:right w:type="dxa" w:w="120"/>
            </w:tcMar>
          </w:tcPr>
          <w:p>
            <w:pPr>
              <w:spacing w:after="0" w:line="260"/>
            </w:pPr>
            <w:r>
              <w:rPr>
                <w:rFonts w:ascii="Calibri" w:cs="Calibri" w:eastAsia="Calibri" w:hAnsi="Calibri"/>
                <w:b/>
                <w:bCs/>
                <w:sz w:val="19"/>
                <w:szCs w:val="19"/>
              </w:rPr>
              <w:t xml:space="preserve">Certified</w:t>
            </w:r>
          </w:p>
        </w:tc>
        <w:tc>
          <w:tcPr>
            <w:tcW w:type="dxa" w:w="6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Met all requirements. Credential issued.</w:t>
            </w:r>
          </w:p>
        </w:tc>
      </w:tr>
      <w:tr>
        <w:tc>
          <w:tcPr>
            <w:tcW w:type="dxa" w:w="2800"/>
            <w:shd w:fill="F5F7FA"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Assessment Not Yet Passed</w:t>
            </w:r>
          </w:p>
        </w:tc>
        <w:tc>
          <w:tcPr>
            <w:tcW w:type="dxa" w:w="6200"/>
            <w:shd w:fill="F5F7FA" w:val="clear"/>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Did not reach the standard. Written feedback issued. May reattempt.</w:t>
            </w:r>
          </w:p>
        </w:tc>
      </w:tr>
      <w:tr>
        <w:tc>
          <w:tcPr>
            <w:tcW w:type="dxa" w:w="2800"/>
            <w:tcMar>
              <w:top w:type="dxa" w:w="80"/>
              <w:left w:type="dxa" w:w="120"/>
              <w:bottom w:type="dxa" w:w="80"/>
              <w:right w:type="dxa" w:w="120"/>
            </w:tcMar>
          </w:tcPr>
          <w:p>
            <w:pPr>
              <w:spacing w:after="0" w:line="260"/>
            </w:pPr>
            <w:r>
              <w:rPr>
                <w:rFonts w:ascii="Calibri" w:cs="Calibri" w:eastAsia="Calibri" w:hAnsi="Calibri"/>
                <w:b/>
                <w:bCs/>
                <w:sz w:val="19"/>
                <w:szCs w:val="19"/>
              </w:rPr>
              <w:t xml:space="preserve">Remediation Required</w:t>
            </w:r>
          </w:p>
        </w:tc>
        <w:tc>
          <w:tcPr>
            <w:tcW w:type="dxa" w:w="62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One or more specific competency gaps, or a critical safety failure. Named gaps must be addressed and evidenced before a further attempt.</w:t>
            </w:r>
          </w:p>
        </w:tc>
      </w:tr>
    </w:tbl>
    <w:p>
      <w:pPr>
        <w:spacing w:after="120"/>
      </w:pPr>
      <w:r>
        <w:rPr>
          <w:sz w:val="2"/>
          <w:szCs w:val="2"/>
        </w:rPr>
        <w:t xml:space="preserve"/>
      </w:r>
    </w:p>
    <w:p>
      <w:pPr>
        <w:spacing w:after="120" w:line="276"/>
      </w:pPr>
      <w:r>
        <w:rPr>
          <w:rFonts w:ascii="Calibri" w:cs="Calibri" w:eastAsia="Calibri" w:hAnsi="Calibri"/>
          <w:sz w:val="21"/>
          <w:szCs w:val="21"/>
        </w:rPr>
        <w:t xml:space="preserve">The term "failed candidate" is not used. The assessment measures whether the standard has been reached yet.</w:t>
      </w:r>
    </w:p>
    <w:p>
      <w:pPr>
        <w:pStyle w:val="Heading2"/>
        <w:spacing w:after="120" w:before="260"/>
      </w:pPr>
      <w:r>
        <w:rPr>
          <w:rFonts w:ascii="Calibri" w:cs="Calibri" w:eastAsia="Calibri" w:hAnsi="Calibri"/>
          <w:b/>
          <w:bCs/>
          <w:color w:val="1F3864"/>
          <w:sz w:val="24"/>
          <w:szCs w:val="24"/>
        </w:rPr>
        <w:t xml:space="preserve">4.11 Retake policy</w:t>
      </w:r>
    </w:p>
    <w:p>
      <w:pPr>
        <w:pStyle w:val="ListParagraph"/>
        <w:numPr>
          <w:ilvl w:val="0"/>
          <w:numId w:val="2"/>
        </w:numPr>
        <w:spacing w:after="80" w:line="276"/>
      </w:pPr>
      <w:r>
        <w:rPr>
          <w:rFonts w:ascii="Calibri" w:cs="Calibri" w:eastAsia="Calibri" w:hAnsi="Calibri"/>
          <w:sz w:val="21"/>
          <w:szCs w:val="21"/>
        </w:rPr>
        <w:t xml:space="preserve">First reattempt: minimum 7-day wait.</w:t>
      </w:r>
    </w:p>
    <w:p>
      <w:pPr>
        <w:pStyle w:val="ListParagraph"/>
        <w:numPr>
          <w:ilvl w:val="0"/>
          <w:numId w:val="2"/>
        </w:numPr>
        <w:spacing w:after="80" w:line="276"/>
      </w:pPr>
      <w:r>
        <w:rPr>
          <w:rFonts w:ascii="Calibri" w:cs="Calibri" w:eastAsia="Calibri" w:hAnsi="Calibri"/>
          <w:sz w:val="21"/>
          <w:szCs w:val="21"/>
        </w:rPr>
        <w:t xml:space="preserve">Second reattempt: minimum 30-day wait.</w:t>
      </w:r>
    </w:p>
    <w:p>
      <w:pPr>
        <w:pStyle w:val="ListParagraph"/>
        <w:numPr>
          <w:ilvl w:val="0"/>
          <w:numId w:val="2"/>
        </w:numPr>
        <w:spacing w:after="80" w:line="276"/>
      </w:pPr>
      <w:r>
        <w:rPr>
          <w:rFonts w:ascii="Calibri" w:cs="Calibri" w:eastAsia="Calibri" w:hAnsi="Calibri"/>
          <w:sz w:val="21"/>
          <w:szCs w:val="21"/>
        </w:rPr>
        <w:t xml:space="preserve">Third and subsequent: at assessor discretion, following a remediation plan.</w:t>
      </w:r>
    </w:p>
    <w:p>
      <w:pPr>
        <w:pStyle w:val="ListParagraph"/>
        <w:numPr>
          <w:ilvl w:val="0"/>
          <w:numId w:val="2"/>
        </w:numPr>
        <w:spacing w:after="80" w:line="276"/>
      </w:pPr>
      <w:r>
        <w:rPr>
          <w:rFonts w:ascii="Calibri" w:cs="Calibri" w:eastAsia="Calibri" w:hAnsi="Calibri"/>
          <w:sz w:val="21"/>
          <w:szCs w:val="21"/>
        </w:rPr>
        <w:t xml:space="preserve">Every attempt uses a different practical scenario and a different seeded troubleshooting workflow.</w:t>
      </w:r>
    </w:p>
    <w:p>
      <w:pPr>
        <w:pStyle w:val="Heading2"/>
        <w:spacing w:after="120" w:before="260"/>
      </w:pPr>
      <w:r>
        <w:rPr>
          <w:rFonts w:ascii="Calibri" w:cs="Calibri" w:eastAsia="Calibri" w:hAnsi="Calibri"/>
          <w:b/>
          <w:bCs/>
          <w:color w:val="1F3864"/>
          <w:sz w:val="24"/>
          <w:szCs w:val="24"/>
        </w:rPr>
        <w:t xml:space="preserve">4.12 Entry routes</w:t>
      </w:r>
    </w:p>
    <w:p>
      <w:pPr>
        <w:spacing w:after="120" w:line="276"/>
      </w:pPr>
      <w:r>
        <w:rPr>
          <w:rFonts w:ascii="Calibri" w:cs="Calibri" w:eastAsia="Calibri" w:hAnsi="Calibri"/>
          <w:b/>
          <w:bCs/>
          <w:sz w:val="21"/>
          <w:szCs w:val="21"/>
        </w:rPr>
        <w:t xml:space="preserve">Path A — Training route</w:t>
      </w:r>
    </w:p>
    <w:p>
      <w:pPr>
        <w:spacing w:after="120" w:line="276"/>
        <w:ind w:left="360"/>
      </w:pPr>
      <w:r>
        <w:rPr>
          <w:rFonts w:ascii="Calibri" w:cs="Calibri" w:eastAsia="Calibri" w:hAnsi="Calibri"/>
          <w:sz w:val="21"/>
          <w:szCs w:val="21"/>
        </w:rPr>
        <w:t xml:space="preserve">Foundations Certificate → Intermediate Cohort → BCAB Assessment → Certified</w:t>
      </w:r>
    </w:p>
    <w:p>
      <w:pPr>
        <w:spacing w:after="120" w:line="276"/>
      </w:pPr>
      <w:r>
        <w:rPr>
          <w:rFonts w:ascii="Calibri" w:cs="Calibri" w:eastAsia="Calibri" w:hAnsi="Calibri"/>
          <w:b/>
          <w:bCs/>
          <w:sz w:val="21"/>
          <w:szCs w:val="21"/>
        </w:rPr>
        <w:t xml:space="preserve">Path B — Experience route</w:t>
      </w:r>
    </w:p>
    <w:p>
      <w:pPr>
        <w:spacing w:after="120" w:line="276"/>
        <w:ind w:left="360"/>
      </w:pPr>
      <w:r>
        <w:rPr>
          <w:rFonts w:ascii="Calibri" w:cs="Calibri" w:eastAsia="Calibri" w:hAnsi="Calibri"/>
          <w:sz w:val="21"/>
          <w:szCs w:val="21"/>
        </w:rPr>
        <w:t xml:space="preserve">Working automation practitioner → Readiness Assessment → BCAB Assessment → Certified</w:t>
      </w:r>
    </w:p>
    <w:p>
      <w:pPr>
        <w:spacing w:after="120" w:line="276"/>
      </w:pPr>
      <w:r>
        <w:rPr>
          <w:rFonts w:ascii="Calibri" w:cs="Calibri" w:eastAsia="Calibri" w:hAnsi="Calibri"/>
          <w:sz w:val="21"/>
          <w:szCs w:val="21"/>
        </w:rPr>
        <w:t xml:space="preserve">Path B candidates are not required to purchase training. A readiness assessment establishes that an attempt is realistic; it is advisory, not a gate, and its fee is credited against the assessment fee.</w:t>
      </w:r>
    </w:p>
    <w:tbl>
      <w:tblPr>
        <w:tblW w:type="dxa" w:w="9000"/>
        <w:tblBorders>
          <w:top w:val="single" w:color="C9D2E0" w:sz="2"/>
          <w:left w:val="single" w:color="1F3864" w:sz="18"/>
          <w:bottom w:val="single" w:color="C9D2E0" w:sz="2"/>
          <w:right w:val="single" w:color="C9D2E0" w:sz="2"/>
          <w:insideH w:val="none"/>
          <w:insideV w:val="none"/>
        </w:tblBorders>
      </w:tblPr>
      <w:tblGrid>
        <w:gridCol w:w="9000"/>
      </w:tblGrid>
      <w:tr>
        <w:tc>
          <w:tcPr>
            <w:tcW w:type="dxa" w:w="9000"/>
            <w:shd w:fill="EDF1F7" w:val="clear"/>
            <w:tcMar>
              <w:top w:type="dxa" w:w="140"/>
              <w:left w:type="dxa" w:w="180"/>
              <w:bottom w:type="dxa" w:w="140"/>
              <w:right w:type="dxa" w:w="180"/>
            </w:tcMar>
          </w:tcPr>
          <w:p>
            <w:pPr>
              <w:spacing w:after="0" w:line="276"/>
            </w:pPr>
            <w:r>
              <w:rPr>
                <w:rFonts w:ascii="Calibri" w:cs="Calibri" w:eastAsia="Calibri" w:hAnsi="Calibri"/>
                <w:b/>
                <w:bCs/>
                <w:sz w:val="21"/>
                <w:szCs w:val="21"/>
              </w:rPr>
              <w:t xml:space="preserve">Path B is essential to the credential’s independence and is to be maintained even when it is commercially inconvenient.</w:t>
            </w:r>
          </w:p>
        </w:tc>
      </w:tr>
    </w:tbl>
    <w:p>
      <w:pPr>
        <w:spacing w:after="120"/>
      </w:pPr>
      <w:r>
        <w:rPr>
          <w:sz w:val="2"/>
          <w:szCs w:val="2"/>
        </w:rPr>
        <w:t xml:space="preserve"/>
      </w:r>
    </w:p>
    <w:p>
      <w:pPr>
        <w:pStyle w:val="Heading1"/>
        <w:spacing w:after="160" w:before="360"/>
      </w:pPr>
      <w:r>
        <w:rPr>
          <w:rFonts w:ascii="Calibri" w:cs="Calibri" w:eastAsia="Calibri" w:hAnsi="Calibri"/>
          <w:b/>
          <w:bCs/>
          <w:color w:val="1F3864"/>
          <w:sz w:val="30"/>
          <w:szCs w:val="30"/>
        </w:rPr>
        <w:t xml:space="preserve">5. Stage 3 — Bulletproof Certified Automation Engineer (BCAE)</w:t>
      </w:r>
    </w:p>
    <w:p>
      <w:pPr>
        <w:spacing w:after="120" w:line="276"/>
      </w:pPr>
      <w:r>
        <w:rPr>
          <w:rFonts w:ascii="Calibri" w:cs="Calibri" w:eastAsia="Calibri" w:hAnsi="Calibri"/>
          <w:sz w:val="21"/>
          <w:szCs w:val="21"/>
        </w:rPr>
        <w:t xml:space="preserve">Defined now for pathway clarity; </w:t>
      </w:r>
      <w:r>
        <w:rPr>
          <w:rFonts w:ascii="Calibri" w:cs="Calibri" w:eastAsia="Calibri" w:hAnsi="Calibri"/>
          <w:b/>
          <w:bCs/>
          <w:sz w:val="21"/>
          <w:szCs w:val="21"/>
        </w:rPr>
        <w:t xml:space="preserve">not to be issued until its standard and assessment are written.</w:t>
      </w:r>
    </w:p>
    <w:p>
      <w:pPr>
        <w:spacing w:after="120" w:line="276"/>
      </w:pPr>
      <w:r>
        <w:rPr>
          <w:rFonts w:ascii="Calibri" w:cs="Calibri" w:eastAsia="Calibri" w:hAnsi="Calibri"/>
          <w:sz w:val="21"/>
          <w:szCs w:val="21"/>
        </w:rPr>
        <w:t xml:space="preserve">Reserved scope: architecture, databases, advanced integrations, security, secrets management, environments, deployment, version control, CI/CD, queue-based processing, scaling, concurrency, observability, recovery, operational ownership, AI governance, human approvals, permissions, production documentation, and system lifecycle management.</w:t>
      </w:r>
    </w:p>
    <w:p>
      <w:pPr>
        <w:spacing w:after="120" w:line="276"/>
      </w:pPr>
      <w:r>
        <w:rPr>
          <w:rFonts w:ascii="Calibri" w:cs="Calibri" w:eastAsia="Calibri" w:hAnsi="Calibri"/>
          <w:sz w:val="21"/>
          <w:szCs w:val="21"/>
        </w:rPr>
        <w:t xml:space="preserve">At this level the platform is the implementation detail, not the subject.</w:t>
      </w:r>
    </w:p>
    <w:p>
      <w:pPr>
        <w:pStyle w:val="Heading1"/>
        <w:spacing w:after="160" w:before="360"/>
      </w:pPr>
      <w:r>
        <w:rPr>
          <w:rFonts w:ascii="Calibri" w:cs="Calibri" w:eastAsia="Calibri" w:hAnsi="Calibri"/>
          <w:b/>
          <w:bCs/>
          <w:color w:val="1F3864"/>
          <w:sz w:val="30"/>
          <w:szCs w:val="30"/>
        </w:rPr>
        <w:t xml:space="preserve">6. Assessment integrity</w:t>
      </w:r>
    </w:p>
    <w:p>
      <w:pPr>
        <w:spacing w:after="120" w:line="276"/>
      </w:pPr>
      <w:r>
        <w:rPr>
          <w:rFonts w:ascii="Calibri" w:cs="Calibri" w:eastAsia="Calibri" w:hAnsi="Calibri"/>
          <w:b/>
          <w:bCs/>
          <w:sz w:val="21"/>
          <w:szCs w:val="21"/>
        </w:rPr>
        <w:t xml:space="preserve">Assessor record. </w:t>
      </w:r>
      <w:r>
        <w:rPr>
          <w:rFonts w:ascii="Calibri" w:cs="Calibri" w:eastAsia="Calibri" w:hAnsi="Calibri"/>
          <w:sz w:val="21"/>
          <w:szCs w:val="21"/>
        </w:rPr>
        <w:t xml:space="preserve">Every component is scored per domain with a one-line written justification. The record is retained and forms the basis of any appeal.</w:t>
      </w:r>
    </w:p>
    <w:p>
      <w:pPr>
        <w:spacing w:after="120" w:line="276"/>
      </w:pPr>
      <w:r>
        <w:rPr>
          <w:rFonts w:ascii="Calibri" w:cs="Calibri" w:eastAsia="Calibri" w:hAnsi="Calibri"/>
          <w:b/>
          <w:bCs/>
          <w:sz w:val="21"/>
          <w:szCs w:val="21"/>
        </w:rPr>
        <w:t xml:space="preserve">Second review. </w:t>
      </w:r>
      <w:r>
        <w:rPr>
          <w:rFonts w:ascii="Calibri" w:cs="Calibri" w:eastAsia="Calibri" w:hAnsi="Calibri"/>
          <w:sz w:val="21"/>
          <w:szCs w:val="21"/>
        </w:rPr>
        <w:t xml:space="preserve">Mandatory for: any result within 5 percentage points of a threshold, any Remediation Required outcome, and any candidate taught by the assessing assessor.</w:t>
      </w:r>
    </w:p>
    <w:p>
      <w:pPr>
        <w:spacing w:after="120" w:line="276"/>
      </w:pPr>
      <w:r>
        <w:rPr>
          <w:rFonts w:ascii="Calibri" w:cs="Calibri" w:eastAsia="Calibri" w:hAnsi="Calibri"/>
          <w:b/>
          <w:bCs/>
          <w:sz w:val="21"/>
          <w:szCs w:val="21"/>
        </w:rPr>
        <w:t xml:space="preserve">Conflict of interest — teaching. </w:t>
      </w:r>
      <w:r>
        <w:rPr>
          <w:rFonts w:ascii="Calibri" w:cs="Calibri" w:eastAsia="Calibri" w:hAnsi="Calibri"/>
          <w:sz w:val="21"/>
          <w:szCs w:val="21"/>
        </w:rPr>
        <w:t xml:space="preserve">Where the assessor also taught the candidate, second review applies to all outcomes, not only borderline ones.</w:t>
      </w:r>
    </w:p>
    <w:p>
      <w:pPr>
        <w:spacing w:after="120" w:line="276"/>
      </w:pPr>
      <w:r>
        <w:rPr>
          <w:rFonts w:ascii="Calibri" w:cs="Calibri" w:eastAsia="Calibri" w:hAnsi="Calibri"/>
          <w:b/>
          <w:bCs/>
          <w:sz w:val="21"/>
          <w:szCs w:val="21"/>
        </w:rPr>
        <w:t xml:space="preserve">Conflict of interest — hiring. </w:t>
      </w:r>
      <w:r>
        <w:rPr>
          <w:rFonts w:ascii="Calibri" w:cs="Calibri" w:eastAsia="Calibri" w:hAnsi="Calibri"/>
          <w:sz w:val="21"/>
          <w:szCs w:val="21"/>
        </w:rPr>
        <w:t xml:space="preserve">See Section 7.</w:t>
      </w:r>
    </w:p>
    <w:p>
      <w:pPr>
        <w:spacing w:after="120" w:line="276"/>
      </w:pPr>
      <w:r>
        <w:rPr>
          <w:rFonts w:ascii="Calibri" w:cs="Calibri" w:eastAsia="Calibri" w:hAnsi="Calibri"/>
          <w:b/>
          <w:bCs/>
          <w:sz w:val="21"/>
          <w:szCs w:val="21"/>
        </w:rPr>
        <w:t xml:space="preserve">Calibration. </w:t>
      </w:r>
      <w:r>
        <w:rPr>
          <w:rFonts w:ascii="Calibri" w:cs="Calibri" w:eastAsia="Calibri" w:hAnsi="Calibri"/>
          <w:sz w:val="21"/>
          <w:szCs w:val="21"/>
        </w:rPr>
        <w:t xml:space="preserve">Where more than one assessor is active, both independently score the same two submissions each cycle and reconcile before results are issued.</w:t>
      </w:r>
    </w:p>
    <w:p>
      <w:pPr>
        <w:spacing w:after="120" w:line="276"/>
      </w:pPr>
      <w:r>
        <w:rPr>
          <w:rFonts w:ascii="Calibri" w:cs="Calibri" w:eastAsia="Calibri" w:hAnsi="Calibri"/>
          <w:b/>
          <w:bCs/>
          <w:sz w:val="21"/>
          <w:szCs w:val="21"/>
        </w:rPr>
        <w:t xml:space="preserve">Authorship. </w:t>
      </w:r>
      <w:r>
        <w:rPr>
          <w:rFonts w:ascii="Calibri" w:cs="Calibri" w:eastAsia="Calibri" w:hAnsi="Calibri"/>
          <w:sz w:val="21"/>
          <w:szCs w:val="21"/>
        </w:rPr>
        <w:t xml:space="preserve">Part 4 verifies that submitted work is the candidate’s own. Parts 1 and 2 are not assumed to be unaided; the live components carry the integrity weight, and this is stated to candidates openly rather than policed covertly.</w:t>
      </w:r>
    </w:p>
    <w:p>
      <w:pPr>
        <w:spacing w:after="120" w:line="276"/>
      </w:pPr>
      <w:r>
        <w:rPr>
          <w:rFonts w:ascii="Calibri" w:cs="Calibri" w:eastAsia="Calibri" w:hAnsi="Calibri"/>
          <w:b/>
          <w:bCs/>
          <w:sz w:val="21"/>
          <w:szCs w:val="21"/>
        </w:rPr>
        <w:t xml:space="preserve">Appeals. </w:t>
      </w:r>
      <w:r>
        <w:rPr>
          <w:rFonts w:ascii="Calibri" w:cs="Calibri" w:eastAsia="Calibri" w:hAnsi="Calibri"/>
          <w:sz w:val="21"/>
          <w:szCs w:val="21"/>
        </w:rPr>
        <w:t xml:space="preserve">Within 14 days, reviewed by an assessor not involved in the original decision.</w:t>
      </w:r>
    </w:p>
    <w:p>
      <w:pPr>
        <w:spacing w:after="120" w:line="276"/>
      </w:pPr>
      <w:r>
        <w:rPr>
          <w:rFonts w:ascii="Calibri" w:cs="Calibri" w:eastAsia="Calibri" w:hAnsi="Calibri"/>
          <w:b/>
          <w:bCs/>
          <w:sz w:val="21"/>
          <w:szCs w:val="21"/>
        </w:rPr>
        <w:t xml:space="preserve">Revocation. </w:t>
      </w:r>
      <w:r>
        <w:rPr>
          <w:rFonts w:ascii="Calibri" w:cs="Calibri" w:eastAsia="Calibri" w:hAnsi="Calibri"/>
          <w:sz w:val="21"/>
          <w:szCs w:val="21"/>
        </w:rPr>
        <w:t xml:space="preserve">For misrepresentation of the credential, or submitted work later shown not to be the candidate’s own.</w:t>
      </w:r>
    </w:p>
    <w:p>
      <w:pPr>
        <w:pStyle w:val="Heading1"/>
        <w:spacing w:after="160" w:before="360"/>
      </w:pPr>
      <w:r>
        <w:rPr>
          <w:rFonts w:ascii="Calibri" w:cs="Calibri" w:eastAsia="Calibri" w:hAnsi="Calibri"/>
          <w:b/>
          <w:bCs/>
          <w:color w:val="1F3864"/>
          <w:sz w:val="30"/>
          <w:szCs w:val="30"/>
        </w:rPr>
        <w:t xml:space="preserve">7. Use as a hiring standard</w:t>
      </w:r>
    </w:p>
    <w:p>
      <w:pPr>
        <w:spacing w:after="120" w:line="276"/>
      </w:pPr>
      <w:r>
        <w:rPr>
          <w:rFonts w:ascii="Calibri" w:cs="Calibri" w:eastAsia="Calibri" w:hAnsi="Calibri"/>
          <w:sz w:val="21"/>
          <w:szCs w:val="21"/>
        </w:rPr>
        <w:t xml:space="preserve">Bulletproof Automations uses BCAB as a minimum competency standard for automation roles. This is published, because a credential with a real consumer is worth more than one without.</w:t>
      </w:r>
    </w:p>
    <w:p>
      <w:pPr>
        <w:spacing w:after="120" w:line="276"/>
      </w:pPr>
      <w:r>
        <w:rPr>
          <w:rFonts w:ascii="Calibri" w:cs="Calibri" w:eastAsia="Calibri" w:hAnsi="Calibri"/>
          <w:sz w:val="21"/>
          <w:szCs w:val="21"/>
        </w:rPr>
        <w:t xml:space="preserve">Three controls apply:</w:t>
      </w:r>
    </w:p>
    <w:p>
      <w:pPr>
        <w:pStyle w:val="ListParagraph"/>
        <w:numPr>
          <w:ilvl w:val="0"/>
          <w:numId w:val="4"/>
        </w:numPr>
        <w:spacing w:after="80" w:line="276"/>
      </w:pPr>
      <w:r>
        <w:rPr>
          <w:rFonts w:ascii="Calibri" w:cs="Calibri" w:eastAsia="Calibri" w:hAnsi="Calibri"/>
          <w:sz w:val="21"/>
          <w:szCs w:val="21"/>
        </w:rPr>
        <w:t xml:space="preserve">Separation of decisions. Certification outcomes are determined solely against this framework. Hiring interest, or its absence, is not a factor in any assessment decision and is not discussed with the assessor before an outcome is issued.</w:t>
      </w:r>
    </w:p>
    <w:p>
      <w:pPr>
        <w:pStyle w:val="ListParagraph"/>
        <w:numPr>
          <w:ilvl w:val="0"/>
          <w:numId w:val="4"/>
        </w:numPr>
        <w:spacing w:after="80" w:line="276"/>
      </w:pPr>
      <w:r>
        <w:rPr>
          <w:rFonts w:ascii="Calibri" w:cs="Calibri" w:eastAsia="Calibri" w:hAnsi="Calibri"/>
          <w:sz w:val="21"/>
          <w:szCs w:val="21"/>
        </w:rPr>
        <w:t xml:space="preserve">No implied employment. Certification is not an offer, promise, or indication of employment. No marketing material for the pathway may suggest that certification leads to work at Bulletproof Automations.</w:t>
      </w:r>
    </w:p>
    <w:p>
      <w:pPr>
        <w:pStyle w:val="ListParagraph"/>
        <w:numPr>
          <w:ilvl w:val="0"/>
          <w:numId w:val="4"/>
        </w:numPr>
        <w:spacing w:after="80" w:line="276"/>
      </w:pPr>
      <w:r>
        <w:rPr>
          <w:rFonts w:ascii="Calibri" w:cs="Calibri" w:eastAsia="Calibri" w:hAnsi="Calibri"/>
          <w:sz w:val="21"/>
          <w:szCs w:val="21"/>
        </w:rPr>
        <w:t xml:space="preserve">Documented basis. Because outcomes may affect employment prospects, the per-domain score record, second review, and appeals route in Section 6 apply without exception.</w:t>
      </w:r>
    </w:p>
    <w:tbl>
      <w:tblPr>
        <w:tblW w:type="dxa" w:w="9000"/>
        <w:tblBorders>
          <w:top w:val="single" w:color="C9D2E0" w:sz="2"/>
          <w:left w:val="single" w:color="1F3864" w:sz="18"/>
          <w:bottom w:val="single" w:color="C9D2E0" w:sz="2"/>
          <w:right w:val="single" w:color="C9D2E0" w:sz="2"/>
          <w:insideH w:val="none"/>
          <w:insideV w:val="none"/>
        </w:tblBorders>
      </w:tblPr>
      <w:tblGrid>
        <w:gridCol w:w="9000"/>
      </w:tblGrid>
      <w:tr>
        <w:tc>
          <w:tcPr>
            <w:tcW w:type="dxa" w:w="9000"/>
            <w:shd w:fill="EDF1F7" w:val="clear"/>
            <w:tcMar>
              <w:top w:type="dxa" w:w="140"/>
              <w:left w:type="dxa" w:w="180"/>
              <w:bottom w:type="dxa" w:w="140"/>
              <w:right w:type="dxa" w:w="180"/>
            </w:tcMar>
          </w:tcPr>
          <w:p>
            <w:pPr>
              <w:spacing w:after="0" w:line="276"/>
            </w:pPr>
            <w:r>
              <w:rPr>
                <w:rFonts w:ascii="Calibri" w:cs="Calibri" w:eastAsia="Calibri" w:hAnsi="Calibri"/>
                <w:b/>
                <w:bCs/>
                <w:sz w:val="21"/>
                <w:szCs w:val="21"/>
              </w:rPr>
              <w:t xml:space="preserve">Required wording: </w:t>
            </w:r>
            <w:r>
              <w:rPr>
                <w:rFonts w:ascii="Calibri" w:cs="Calibri" w:eastAsia="Calibri" w:hAnsi="Calibri"/>
                <w:i/>
                <w:iCs/>
                <w:sz w:val="21"/>
                <w:szCs w:val="21"/>
              </w:rPr>
              <w:t xml:space="preserve">"BCAB is a minimum standard for automation roles at Bulletproof Automations. Holding it does not constitute an application, offer, or guarantee of employment."</w:t>
            </w:r>
          </w:p>
        </w:tc>
      </w:tr>
    </w:tbl>
    <w:p>
      <w:pPr>
        <w:spacing w:after="120"/>
      </w:pPr>
      <w:r>
        <w:rPr>
          <w:sz w:val="2"/>
          <w:szCs w:val="2"/>
        </w:rPr>
        <w:t xml:space="preserve"/>
      </w:r>
    </w:p>
    <w:p>
      <w:pPr>
        <w:pStyle w:val="Heading1"/>
        <w:spacing w:after="160" w:before="360"/>
      </w:pPr>
      <w:r>
        <w:rPr>
          <w:rFonts w:ascii="Calibri" w:cs="Calibri" w:eastAsia="Calibri" w:hAnsi="Calibri"/>
          <w:b/>
          <w:bCs/>
          <w:color w:val="1F3864"/>
          <w:sz w:val="30"/>
          <w:szCs w:val="30"/>
        </w:rPr>
        <w:t xml:space="preserve">8. Credential issuance and validity</w:t>
      </w:r>
    </w:p>
    <w:tbl>
      <w:tblPr>
        <w:tblW w:type="dxa" w:w="9000"/>
        <w:tblBorders>
          <w:top w:val="single" w:color="C9D2E0" w:sz="2"/>
          <w:left w:val="single" w:color="C9D2E0" w:sz="2"/>
          <w:bottom w:val="single" w:color="C9D2E0" w:sz="2"/>
          <w:right w:val="single" w:color="C9D2E0" w:sz="2"/>
          <w:insideH w:val="single" w:color="DCE3EC" w:sz="2"/>
          <w:insideV w:val="single" w:color="DCE3EC" w:sz="2"/>
        </w:tblBorders>
      </w:tblPr>
      <w:tblGrid>
        <w:gridCol w:w="3000"/>
        <w:gridCol w:w="6000"/>
      </w:tblGrid>
      <w:tr>
        <w:trPr>
          <w:tblHeader/>
        </w:trPr>
        <w:tc>
          <w:tcPr>
            <w:tcW w:type="dxa" w:w="30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Element</w:t>
            </w:r>
          </w:p>
        </w:tc>
        <w:tc>
          <w:tcPr>
            <w:tcW w:type="dxa" w:w="60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Standard</w:t>
            </w:r>
          </w:p>
        </w:tc>
      </w:tr>
      <w:tr>
        <w:tc>
          <w:tcPr>
            <w:tcW w:type="dxa" w:w="3000"/>
            <w:tcMar>
              <w:top w:type="dxa" w:w="80"/>
              <w:left w:type="dxa" w:w="120"/>
              <w:bottom w:type="dxa" w:w="80"/>
              <w:right w:type="dxa" w:w="120"/>
            </w:tcMar>
          </w:tcPr>
          <w:p>
            <w:pPr>
              <w:spacing w:after="0" w:line="260"/>
            </w:pPr>
            <w:r>
              <w:rPr>
                <w:rFonts w:ascii="Calibri" w:cs="Calibri" w:eastAsia="Calibri" w:hAnsi="Calibri"/>
                <w:b/>
                <w:bCs/>
                <w:sz w:val="19"/>
                <w:szCs w:val="19"/>
              </w:rPr>
              <w:t xml:space="preserve">Credential ID</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Unique, non-sequential, issued per credential</w:t>
            </w:r>
          </w:p>
        </w:tc>
      </w:tr>
      <w:tr>
        <w:tc>
          <w:tcPr>
            <w:tcW w:type="dxa" w:w="3000"/>
            <w:shd w:fill="F5F7FA"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Verification</w:t>
            </w:r>
          </w:p>
        </w:tc>
        <w:tc>
          <w:tcPr>
            <w:tcW w:type="dxa" w:w="6000"/>
            <w:shd w:fill="F5F7FA" w:val="clear"/>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Public page: holder name, credential, issue date, platform version, current status</w:t>
            </w:r>
          </w:p>
        </w:tc>
      </w:tr>
      <w:tr>
        <w:tc>
          <w:tcPr>
            <w:tcW w:type="dxa" w:w="3000"/>
            <w:tcMar>
              <w:top w:type="dxa" w:w="80"/>
              <w:left w:type="dxa" w:w="120"/>
              <w:bottom w:type="dxa" w:w="80"/>
              <w:right w:type="dxa" w:w="120"/>
            </w:tcMar>
          </w:tcPr>
          <w:p>
            <w:pPr>
              <w:spacing w:after="0" w:line="260"/>
            </w:pPr>
            <w:r>
              <w:rPr>
                <w:rFonts w:ascii="Calibri" w:cs="Calibri" w:eastAsia="Calibri" w:hAnsi="Calibri"/>
                <w:b/>
                <w:bCs/>
                <w:sz w:val="19"/>
                <w:szCs w:val="19"/>
              </w:rPr>
              <w:t xml:space="preserve">Platform version</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Recorded on the credential (e.g. "assessed against n8n 1.x")</w:t>
            </w:r>
          </w:p>
        </w:tc>
      </w:tr>
      <w:tr>
        <w:tc>
          <w:tcPr>
            <w:tcW w:type="dxa" w:w="3000"/>
            <w:shd w:fill="F5F7FA"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Validity — Foundations Certificate</w:t>
            </w:r>
          </w:p>
        </w:tc>
        <w:tc>
          <w:tcPr>
            <w:tcW w:type="dxa" w:w="6000"/>
            <w:shd w:fill="F5F7FA" w:val="clear"/>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Does not expire (it records completion of training on a date)</w:t>
            </w:r>
          </w:p>
        </w:tc>
      </w:tr>
      <w:tr>
        <w:tc>
          <w:tcPr>
            <w:tcW w:type="dxa" w:w="3000"/>
            <w:tcMar>
              <w:top w:type="dxa" w:w="80"/>
              <w:left w:type="dxa" w:w="120"/>
              <w:bottom w:type="dxa" w:w="80"/>
              <w:right w:type="dxa" w:w="120"/>
            </w:tcMar>
          </w:tcPr>
          <w:p>
            <w:pPr>
              <w:spacing w:after="0" w:line="260"/>
            </w:pPr>
            <w:r>
              <w:rPr>
                <w:rFonts w:ascii="Calibri" w:cs="Calibri" w:eastAsia="Calibri" w:hAnsi="Calibri"/>
                <w:b/>
                <w:bCs/>
                <w:sz w:val="19"/>
                <w:szCs w:val="19"/>
              </w:rPr>
              <w:t xml:space="preserve">Validity — BCAB</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24 months</w:t>
            </w:r>
          </w:p>
        </w:tc>
      </w:tr>
      <w:tr>
        <w:tc>
          <w:tcPr>
            <w:tcW w:type="dxa" w:w="3000"/>
            <w:shd w:fill="F5F7FA" w:val="clear"/>
            <w:tcMar>
              <w:top w:type="dxa" w:w="80"/>
              <w:left w:type="dxa" w:w="120"/>
              <w:bottom w:type="dxa" w:w="80"/>
              <w:right w:type="dxa" w:w="120"/>
            </w:tcMar>
          </w:tcPr>
          <w:p>
            <w:pPr>
              <w:spacing w:after="0" w:line="260"/>
            </w:pPr>
            <w:r>
              <w:rPr>
                <w:rFonts w:ascii="Calibri" w:cs="Calibri" w:eastAsia="Calibri" w:hAnsi="Calibri"/>
                <w:b/>
                <w:bCs/>
                <w:sz w:val="19"/>
                <w:szCs w:val="19"/>
              </w:rPr>
              <w:t xml:space="preserve">Recertification</w:t>
            </w:r>
          </w:p>
        </w:tc>
        <w:tc>
          <w:tcPr>
            <w:tcW w:type="dxa" w:w="6000"/>
            <w:shd w:fill="F5F7FA" w:val="clear"/>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Submit one current workflow demonstrating continued practice, plus a short update assessment covering platform change since issue</w:t>
            </w:r>
          </w:p>
        </w:tc>
      </w:tr>
      <w:tr>
        <w:tc>
          <w:tcPr>
            <w:tcW w:type="dxa" w:w="3000"/>
            <w:tcMar>
              <w:top w:type="dxa" w:w="80"/>
              <w:left w:type="dxa" w:w="120"/>
              <w:bottom w:type="dxa" w:w="80"/>
              <w:right w:type="dxa" w:w="120"/>
            </w:tcMar>
          </w:tcPr>
          <w:p>
            <w:pPr>
              <w:spacing w:after="0" w:line="260"/>
            </w:pPr>
            <w:r>
              <w:rPr>
                <w:rFonts w:ascii="Calibri" w:cs="Calibri" w:eastAsia="Calibri" w:hAnsi="Calibri"/>
                <w:b/>
                <w:bCs/>
                <w:sz w:val="19"/>
                <w:szCs w:val="19"/>
              </w:rPr>
              <w:t xml:space="preserve">Permitted description</w:t>
            </w:r>
          </w:p>
        </w:tc>
        <w:tc>
          <w:tcPr>
            <w:tcW w:type="dxa" w:w="6000"/>
            <w:tcMar>
              <w:top w:type="dxa" w:w="80"/>
              <w:left w:type="dxa" w:w="120"/>
              <w:bottom w:type="dxa" w:w="80"/>
              <w:right w:type="dxa" w:w="120"/>
            </w:tcMar>
          </w:tcPr>
          <w:p>
            <w:pPr>
              <w:spacing w:after="0" w:line="260"/>
            </w:pPr>
            <w:r>
              <w:rPr>
                <w:rFonts w:ascii="Calibri" w:cs="Calibri" w:eastAsia="Calibri" w:hAnsi="Calibri"/>
                <w:b w:val="false"/>
                <w:bCs w:val="false"/>
                <w:sz w:val="19"/>
                <w:szCs w:val="19"/>
              </w:rPr>
              <w:t xml:space="preserve">Supplied with each credential; holders may not describe it as an n8n certification</w:t>
            </w:r>
          </w:p>
        </w:tc>
      </w:tr>
    </w:tbl>
    <w:p>
      <w:pPr>
        <w:pStyle w:val="Heading1"/>
        <w:spacing w:after="160" w:before="360"/>
      </w:pPr>
      <w:r>
        <w:rPr>
          <w:rFonts w:ascii="Calibri" w:cs="Calibri" w:eastAsia="Calibri" w:hAnsi="Calibri"/>
          <w:b/>
          <w:bCs/>
          <w:color w:val="1F3864"/>
          <w:sz w:val="30"/>
          <w:szCs w:val="30"/>
        </w:rPr>
        <w:t xml:space="preserve">9. Provisional standards and calibration</w:t>
      </w:r>
    </w:p>
    <w:p>
      <w:pPr>
        <w:spacing w:after="120" w:line="276"/>
      </w:pPr>
      <w:r>
        <w:rPr>
          <w:rFonts w:ascii="Calibri" w:cs="Calibri" w:eastAsia="Calibri" w:hAnsi="Calibri"/>
          <w:sz w:val="21"/>
          <w:szCs w:val="21"/>
        </w:rPr>
        <w:t xml:space="preserve">The thresholds in Section 4.8 are set before any candidate has been assessed and are therefore </w:t>
      </w:r>
      <w:r>
        <w:rPr>
          <w:rFonts w:ascii="Calibri" w:cs="Calibri" w:eastAsia="Calibri" w:hAnsi="Calibri"/>
          <w:b/>
          <w:bCs/>
          <w:sz w:val="21"/>
          <w:szCs w:val="21"/>
        </w:rPr>
        <w:t xml:space="preserve">provisional</w:t>
      </w:r>
      <w:r>
        <w:rPr>
          <w:rFonts w:ascii="Calibri" w:cs="Calibri" w:eastAsia="Calibri" w:hAnsi="Calibri"/>
          <w:sz w:val="21"/>
          <w:szCs w:val="21"/>
        </w:rPr>
        <w:t xml:space="preserve">.</w:t>
      </w:r>
    </w:p>
    <w:p>
      <w:pPr>
        <w:spacing w:after="120" w:line="276"/>
      </w:pPr>
      <w:r>
        <w:rPr>
          <w:rFonts w:ascii="Calibri" w:cs="Calibri" w:eastAsia="Calibri" w:hAnsi="Calibri"/>
          <w:b/>
          <w:bCs/>
          <w:sz w:val="21"/>
          <w:szCs w:val="21"/>
        </w:rPr>
        <w:t xml:space="preserve">Calibration protocol:</w:t>
      </w:r>
    </w:p>
    <w:p>
      <w:pPr>
        <w:pStyle w:val="ListParagraph"/>
        <w:numPr>
          <w:ilvl w:val="0"/>
          <w:numId w:val="5"/>
        </w:numPr>
        <w:spacing w:after="80" w:line="276"/>
      </w:pPr>
      <w:r>
        <w:rPr>
          <w:rFonts w:ascii="Calibri" w:cs="Calibri" w:eastAsia="Calibri" w:hAnsi="Calibri"/>
          <w:sz w:val="21"/>
          <w:szCs w:val="21"/>
        </w:rPr>
        <w:t xml:space="preserve">Assess cohort one against the provisional thresholds.</w:t>
      </w:r>
    </w:p>
    <w:p>
      <w:pPr>
        <w:pStyle w:val="ListParagraph"/>
        <w:numPr>
          <w:ilvl w:val="0"/>
          <w:numId w:val="5"/>
        </w:numPr>
        <w:spacing w:after="80" w:line="276"/>
      </w:pPr>
      <w:r>
        <w:rPr>
          <w:rFonts w:ascii="Calibri" w:cs="Calibri" w:eastAsia="Calibri" w:hAnsi="Calibri"/>
          <w:sz w:val="21"/>
          <w:szCs w:val="21"/>
        </w:rPr>
        <w:t xml:space="preserve">Record the full score distribution per component and per domain.</w:t>
      </w:r>
    </w:p>
    <w:p>
      <w:pPr>
        <w:pStyle w:val="ListParagraph"/>
        <w:numPr>
          <w:ilvl w:val="0"/>
          <w:numId w:val="5"/>
        </w:numPr>
        <w:spacing w:after="80" w:line="276"/>
      </w:pPr>
      <w:r>
        <w:rPr>
          <w:rFonts w:ascii="Calibri" w:cs="Calibri" w:eastAsia="Calibri" w:hAnsi="Calibri"/>
          <w:sz w:val="21"/>
          <w:szCs w:val="21"/>
        </w:rPr>
        <w:t xml:space="preserve">Review item-level performance in Part 1, score spread in Parts 2 and 3, and any component where nearly all candidates cluster at one end (a sign the instrument, not the candidates, needs work).</w:t>
      </w:r>
    </w:p>
    <w:p>
      <w:pPr>
        <w:pStyle w:val="ListParagraph"/>
        <w:numPr>
          <w:ilvl w:val="0"/>
          <w:numId w:val="5"/>
        </w:numPr>
        <w:spacing w:after="80" w:line="276"/>
      </w:pPr>
      <w:r>
        <w:rPr>
          <w:rFonts w:ascii="Calibri" w:cs="Calibri" w:eastAsia="Calibri" w:hAnsi="Calibri"/>
          <w:sz w:val="21"/>
          <w:szCs w:val="21"/>
        </w:rPr>
        <w:t xml:space="preserve">Confirm or revise thresholds and publish them as Version 3.0 with the reasoning.</w:t>
      </w:r>
    </w:p>
    <w:p>
      <w:pPr>
        <w:pStyle w:val="ListParagraph"/>
        <w:numPr>
          <w:ilvl w:val="0"/>
          <w:numId w:val="5"/>
        </w:numPr>
        <w:spacing w:after="80" w:line="276"/>
      </w:pPr>
      <w:r>
        <w:rPr>
          <w:rFonts w:ascii="Calibri" w:cs="Calibri" w:eastAsia="Calibri" w:hAnsi="Calibri"/>
          <w:sz w:val="21"/>
          <w:szCs w:val="21"/>
        </w:rPr>
        <w:t xml:space="preserve">Candidates assessed under provisional thresholds are not disadvantaged by any subsequent increase; results stand as issued.</w:t>
      </w:r>
    </w:p>
    <w:p>
      <w:pPr>
        <w:spacing w:after="120" w:line="276"/>
      </w:pPr>
      <w:r>
        <w:rPr>
          <w:rFonts w:ascii="Calibri" w:cs="Calibri" w:eastAsia="Calibri" w:hAnsi="Calibri"/>
          <w:sz w:val="21"/>
          <w:szCs w:val="21"/>
        </w:rPr>
        <w:t xml:space="preserve">This is stated publicly. Standard-setting after piloting is normal practice and is a credibility asset, not a weakness.</w:t>
      </w:r>
    </w:p>
    <w:p>
      <w:pPr>
        <w:pStyle w:val="Heading1"/>
        <w:spacing w:after="160" w:before="360"/>
      </w:pPr>
      <w:r>
        <w:rPr>
          <w:rFonts w:ascii="Calibri" w:cs="Calibri" w:eastAsia="Calibri" w:hAnsi="Calibri"/>
          <w:b/>
          <w:bCs/>
          <w:color w:val="1F3864"/>
          <w:sz w:val="30"/>
          <w:szCs w:val="30"/>
        </w:rPr>
        <w:t xml:space="preserve">10. Outcome tracking</w:t>
      </w:r>
    </w:p>
    <w:p>
      <w:pPr>
        <w:spacing w:after="120" w:line="276"/>
      </w:pPr>
      <w:r>
        <w:rPr>
          <w:rFonts w:ascii="Calibri" w:cs="Calibri" w:eastAsia="Calibri" w:hAnsi="Calibri"/>
          <w:sz w:val="21"/>
          <w:szCs w:val="21"/>
        </w:rPr>
        <w:t xml:space="preserve">Recorded from cohort one, with holder consent:</w:t>
      </w:r>
    </w:p>
    <w:p>
      <w:pPr>
        <w:pStyle w:val="ListParagraph"/>
        <w:numPr>
          <w:ilvl w:val="0"/>
          <w:numId w:val="2"/>
        </w:numPr>
        <w:spacing w:after="80" w:line="276"/>
      </w:pPr>
      <w:r>
        <w:rPr>
          <w:rFonts w:ascii="Calibri" w:cs="Calibri" w:eastAsia="Calibri" w:hAnsi="Calibri"/>
          <w:sz w:val="21"/>
          <w:szCs w:val="21"/>
        </w:rPr>
        <w:t xml:space="preserve">numbers assessed, certified, not yet passed, and remediation required — per cycle, published annually;</w:t>
      </w:r>
    </w:p>
    <w:p>
      <w:pPr>
        <w:pStyle w:val="ListParagraph"/>
        <w:numPr>
          <w:ilvl w:val="0"/>
          <w:numId w:val="2"/>
        </w:numPr>
        <w:spacing w:after="80" w:line="276"/>
      </w:pPr>
      <w:r>
        <w:rPr>
          <w:rFonts w:ascii="Calibri" w:cs="Calibri" w:eastAsia="Calibri" w:hAnsi="Calibri"/>
          <w:sz w:val="21"/>
          <w:szCs w:val="21"/>
        </w:rPr>
        <w:t xml:space="preserve">portfolio links, where holders permit publication;</w:t>
      </w:r>
    </w:p>
    <w:p>
      <w:pPr>
        <w:pStyle w:val="ListParagraph"/>
        <w:numPr>
          <w:ilvl w:val="0"/>
          <w:numId w:val="2"/>
        </w:numPr>
        <w:spacing w:after="80" w:line="276"/>
      </w:pPr>
      <w:r>
        <w:rPr>
          <w:rFonts w:ascii="Calibri" w:cs="Calibri" w:eastAsia="Calibri" w:hAnsi="Calibri"/>
          <w:sz w:val="21"/>
          <w:szCs w:val="21"/>
        </w:rPr>
        <w:t xml:space="preserve">self-reported outcomes at 6 and 18 months (paid automation work, role change, projects shipped).</w:t>
      </w:r>
    </w:p>
    <w:p>
      <w:pPr>
        <w:spacing w:after="120" w:line="276"/>
      </w:pPr>
      <w:r>
        <w:rPr>
          <w:rFonts w:ascii="Calibri" w:cs="Calibri" w:eastAsia="Calibri" w:hAnsi="Calibri"/>
          <w:sz w:val="21"/>
          <w:szCs w:val="21"/>
        </w:rPr>
        <w:t xml:space="preserve">This record is the primary long-term asset of the programme. It is built from the outset rather than reconstructed later.</w:t>
      </w:r>
    </w:p>
    <w:p>
      <w:pPr>
        <w:pStyle w:val="Heading1"/>
        <w:spacing w:after="160" w:before="360"/>
      </w:pPr>
      <w:r>
        <w:rPr>
          <w:rFonts w:ascii="Calibri" w:cs="Calibri" w:eastAsia="Calibri" w:hAnsi="Calibri"/>
          <w:b/>
          <w:bCs/>
          <w:color w:val="1F3864"/>
          <w:sz w:val="30"/>
          <w:szCs w:val="30"/>
        </w:rPr>
        <w:t xml:space="preserve">11. Independence statement</w:t>
      </w:r>
    </w:p>
    <w:p>
      <w:pPr>
        <w:spacing w:after="120" w:line="276"/>
      </w:pPr>
      <w:r>
        <w:rPr>
          <w:rFonts w:ascii="Calibri" w:cs="Calibri" w:eastAsia="Calibri" w:hAnsi="Calibri"/>
          <w:sz w:val="21"/>
          <w:szCs w:val="21"/>
        </w:rPr>
        <w:t xml:space="preserve">Bulletproof Automations is an independent training and certification provider. This framework and the credentials issued under it are not affiliated with, endorsed by, or accredited by n8n GmbH or any other vendor. "n8n" is referenced descriptively as the platform on which competence is currently assessed. Vendor certifications are held separately and additionally.</w:t>
      </w:r>
    </w:p>
    <w:p>
      <w:pPr>
        <w:pStyle w:val="Heading1"/>
        <w:spacing w:after="160" w:before="360"/>
      </w:pPr>
      <w:r>
        <w:rPr>
          <w:rFonts w:ascii="Calibri" w:cs="Calibri" w:eastAsia="Calibri" w:hAnsi="Calibri"/>
          <w:b/>
          <w:bCs/>
          <w:color w:val="1F3864"/>
          <w:sz w:val="30"/>
          <w:szCs w:val="30"/>
        </w:rPr>
        <w:t xml:space="preserve">Revision history</w:t>
      </w:r>
    </w:p>
    <w:tbl>
      <w:tblPr>
        <w:tblW w:type="dxa" w:w="9000"/>
        <w:tblBorders>
          <w:top w:val="single" w:color="C9D2E0" w:sz="2"/>
          <w:left w:val="single" w:color="C9D2E0" w:sz="2"/>
          <w:bottom w:val="single" w:color="C9D2E0" w:sz="2"/>
          <w:right w:val="single" w:color="C9D2E0" w:sz="2"/>
          <w:insideH w:val="single" w:color="DCE3EC" w:sz="2"/>
          <w:insideV w:val="single" w:color="DCE3EC" w:sz="2"/>
        </w:tblBorders>
      </w:tblPr>
      <w:tblGrid>
        <w:gridCol w:w="1000"/>
        <w:gridCol w:w="1300"/>
        <w:gridCol w:w="5200"/>
        <w:gridCol w:w="1500"/>
      </w:tblGrid>
      <w:tr>
        <w:trPr>
          <w:tblHeader/>
        </w:trPr>
        <w:tc>
          <w:tcPr>
            <w:tcW w:type="dxa" w:w="10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Version</w:t>
            </w:r>
          </w:p>
        </w:tc>
        <w:tc>
          <w:tcPr>
            <w:tcW w:type="dxa" w:w="13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Date</w:t>
            </w:r>
          </w:p>
        </w:tc>
        <w:tc>
          <w:tcPr>
            <w:tcW w:type="dxa" w:w="52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Change</w:t>
            </w:r>
          </w:p>
        </w:tc>
        <w:tc>
          <w:tcPr>
            <w:tcW w:type="dxa" w:w="1500"/>
            <w:shd w:fill="1F3864"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Author</w:t>
            </w:r>
          </w:p>
        </w:tc>
      </w:tr>
      <w:tr>
        <w:tc>
          <w:tcPr>
            <w:tcW w:type="dxa" w:w="1000"/>
            <w:tcMar>
              <w:top w:type="dxa" w:w="80"/>
              <w:left w:type="dxa" w:w="120"/>
              <w:bottom w:type="dxa" w:w="80"/>
              <w:right w:type="dxa" w:w="120"/>
            </w:tcMar>
          </w:tcPr>
          <w:p>
            <w:pPr>
              <w:spacing w:after="0" w:line="260"/>
            </w:pPr>
            <w:r>
              <w:rPr>
                <w:rFonts w:ascii="Calibri" w:cs="Calibri" w:eastAsia="Calibri" w:hAnsi="Calibri"/>
                <w:sz w:val="19"/>
                <w:szCs w:val="19"/>
              </w:rPr>
              <w:t xml:space="preserve">1.0</w:t>
            </w:r>
          </w:p>
        </w:tc>
        <w:tc>
          <w:tcPr>
            <w:tcW w:type="dxa" w:w="1300"/>
            <w:tcMar>
              <w:top w:type="dxa" w:w="80"/>
              <w:left w:type="dxa" w:w="120"/>
              <w:bottom w:type="dxa" w:w="80"/>
              <w:right w:type="dxa" w:w="120"/>
            </w:tcMar>
          </w:tcPr>
          <w:p>
            <w:pPr>
              <w:spacing w:after="0" w:line="260"/>
            </w:pPr>
            <w:r>
              <w:rPr>
                <w:rFonts w:ascii="Calibri" w:cs="Calibri" w:eastAsia="Calibri" w:hAnsi="Calibri"/>
                <w:sz w:val="19"/>
                <w:szCs w:val="19"/>
              </w:rPr>
              <w:t xml:space="preserve">[DATE]</w:t>
            </w:r>
          </w:p>
        </w:tc>
        <w:tc>
          <w:tcPr>
            <w:tcW w:type="dxa" w:w="5200"/>
            <w:tcMar>
              <w:top w:type="dxa" w:w="80"/>
              <w:left w:type="dxa" w:w="120"/>
              <w:bottom w:type="dxa" w:w="80"/>
              <w:right w:type="dxa" w:w="120"/>
            </w:tcMar>
          </w:tcPr>
          <w:p>
            <w:pPr>
              <w:spacing w:after="0" w:line="260"/>
            </w:pPr>
            <w:r>
              <w:rPr>
                <w:rFonts w:ascii="Calibri" w:cs="Calibri" w:eastAsia="Calibri" w:hAnsi="Calibri"/>
                <w:sz w:val="19"/>
                <w:szCs w:val="19"/>
              </w:rPr>
              <w:t xml:space="preserve">Initial draft</w:t>
            </w:r>
          </w:p>
        </w:tc>
        <w:tc>
          <w:tcPr>
            <w:tcW w:type="dxa" w:w="1500"/>
            <w:tcMar>
              <w:top w:type="dxa" w:w="80"/>
              <w:left w:type="dxa" w:w="120"/>
              <w:bottom w:type="dxa" w:w="80"/>
              <w:right w:type="dxa" w:w="120"/>
            </w:tcMar>
          </w:tcPr>
          <w:p>
            <w:pPr>
              <w:spacing w:after="0" w:line="260"/>
            </w:pPr>
            <w:r>
              <w:rPr>
                <w:rFonts w:ascii="Calibri" w:cs="Calibri" w:eastAsia="Calibri" w:hAnsi="Calibri"/>
                <w:sz w:val="19"/>
                <w:szCs w:val="19"/>
              </w:rPr>
              <w:t xml:space="preserve">J. Lightfoot</w:t>
            </w:r>
          </w:p>
        </w:tc>
      </w:tr>
      <w:tr>
        <w:tc>
          <w:tcPr>
            <w:tcW w:type="dxa" w:w="10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2.0</w:t>
            </w:r>
          </w:p>
        </w:tc>
        <w:tc>
          <w:tcPr>
            <w:tcW w:type="dxa" w:w="13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[DATE]</w:t>
            </w:r>
          </w:p>
        </w:tc>
        <w:tc>
          <w:tcPr>
            <w:tcW w:type="dxa" w:w="52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Certificate/certification split; seven domains; four assessment components; provisional thresholds; hiring-standard governance</w:t>
            </w:r>
          </w:p>
        </w:tc>
        <w:tc>
          <w:tcPr>
            <w:tcW w:type="dxa" w:w="1500"/>
            <w:shd w:fill="F5F7FA" w:val="clear"/>
            <w:tcMar>
              <w:top w:type="dxa" w:w="80"/>
              <w:left w:type="dxa" w:w="120"/>
              <w:bottom w:type="dxa" w:w="80"/>
              <w:right w:type="dxa" w:w="120"/>
            </w:tcMar>
          </w:tcPr>
          <w:p>
            <w:pPr>
              <w:spacing w:after="0" w:line="260"/>
            </w:pPr>
            <w:r>
              <w:rPr>
                <w:rFonts w:ascii="Calibri" w:cs="Calibri" w:eastAsia="Calibri" w:hAnsi="Calibri"/>
                <w:sz w:val="19"/>
                <w:szCs w:val="19"/>
              </w:rPr>
              <w:t xml:space="preserve">J. Lightfoot</w:t>
            </w:r>
          </w:p>
        </w:tc>
      </w:tr>
    </w:tbl>
    <w:p>
      <w:pPr>
        <w:pStyle w:val="Heading1"/>
        <w:spacing w:after="160" w:before="360"/>
      </w:pPr>
      <w:r>
        <w:rPr>
          <w:rFonts w:ascii="Calibri" w:cs="Calibri" w:eastAsia="Calibri" w:hAnsi="Calibri"/>
          <w:b/>
          <w:bCs/>
          <w:color w:val="1F3864"/>
          <w:sz w:val="30"/>
          <w:szCs w:val="30"/>
        </w:rPr>
        <w:t xml:space="preserve">Open decisions before publication</w:t>
      </w:r>
    </w:p>
    <w:p>
      <w:pPr>
        <w:spacing w:after="100" w:line="276"/>
        <w:ind w:left="360" w:hanging="360"/>
      </w:pPr>
      <w:r>
        <w:rPr>
          <w:rFonts w:ascii="Calibri" w:cs="Calibri" w:eastAsia="Calibri" w:hAnsi="Calibri"/>
          <w:sz w:val="21"/>
          <w:szCs w:val="21"/>
        </w:rPr>
        <w:t xml:space="preserve">☐ Assessment fee (BCAB) and readiness assessment fee (Path B)</w:t>
      </w:r>
    </w:p>
    <w:p>
      <w:pPr>
        <w:spacing w:after="100" w:line="276"/>
        <w:ind w:left="360" w:hanging="360"/>
      </w:pPr>
      <w:r>
        <w:rPr>
          <w:rFonts w:ascii="Calibri" w:cs="Calibri" w:eastAsia="Calibri" w:hAnsi="Calibri"/>
          <w:sz w:val="21"/>
          <w:szCs w:val="21"/>
        </w:rPr>
        <w:t xml:space="preserve">☐ Verification page host and format</w:t>
      </w:r>
    </w:p>
    <w:p>
      <w:pPr>
        <w:spacing w:after="100" w:line="276"/>
        <w:ind w:left="360" w:hanging="360"/>
      </w:pPr>
      <w:r>
        <w:rPr>
          <w:rFonts w:ascii="Calibri" w:cs="Calibri" w:eastAsia="Calibri" w:hAnsi="Calibri"/>
          <w:sz w:val="21"/>
          <w:szCs w:val="21"/>
        </w:rPr>
        <w:t xml:space="preserve">☐ Second assessor identified and calibrated before cohort one concludes</w:t>
      </w:r>
    </w:p>
    <w:p>
      <w:pPr>
        <w:spacing w:after="100" w:line="276"/>
        <w:ind w:left="360" w:hanging="360"/>
      </w:pPr>
      <w:r>
        <w:rPr>
          <w:rFonts w:ascii="Calibri" w:cs="Calibri" w:eastAsia="Calibri" w:hAnsi="Calibri"/>
          <w:sz w:val="21"/>
          <w:szCs w:val="21"/>
        </w:rPr>
        <w:t xml:space="preserve">☐ Scenario bank: two practical scenarios and two seeded troubleshooting workflows built and tested before launch; third in reserve</w:t>
      </w:r>
    </w:p>
    <w:p>
      <w:pPr>
        <w:spacing w:after="100" w:line="276"/>
        <w:ind w:left="360" w:hanging="360"/>
      </w:pPr>
      <w:r>
        <w:rPr>
          <w:rFonts w:ascii="Calibri" w:cs="Calibri" w:eastAsia="Calibri" w:hAnsi="Calibri"/>
          <w:sz w:val="21"/>
          <w:szCs w:val="21"/>
        </w:rPr>
        <w:t xml:space="preserve">☐ Part 1 item bank written and reviewed for judgment-based (not recall-based) phrasing</w:t>
      </w:r>
    </w:p>
    <w:p>
      <w:pPr>
        <w:spacing w:after="100" w:line="276"/>
        <w:ind w:left="360" w:hanging="360"/>
      </w:pPr>
      <w:r>
        <w:rPr>
          <w:rFonts w:ascii="Calibri" w:cs="Calibri" w:eastAsia="Calibri" w:hAnsi="Calibri"/>
          <w:sz w:val="21"/>
          <w:szCs w:val="21"/>
        </w:rPr>
        <w:t xml:space="preserve">☐ Foundations attendance minimum defined numerically</w:t>
      </w:r>
    </w:p>
    <w:p>
      <w:pPr>
        <w:spacing w:after="100" w:line="276"/>
        <w:ind w:left="360" w:hanging="360"/>
      </w:pPr>
      <w:r>
        <w:rPr>
          <w:rFonts w:ascii="Calibri" w:cs="Calibri" w:eastAsia="Calibri" w:hAnsi="Calibri"/>
          <w:sz w:val="21"/>
          <w:szCs w:val="21"/>
        </w:rPr>
        <w:t xml:space="preserve">☐ Legal review of hiring-standard wording in Section 7</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Bulletproof Automation Builder Pathway · Competency Framework v2.0 (Draft)  |  </w:t>
    </w:r>
    <w:r>
      <w:rPr>
        <w:rFonts w:ascii="Calibri" w:cs="Calibri" w:eastAsia="Calibri" w:hAnsi="Calibri"/>
        <w:color w:val="4454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Bulletproof Automation Builder Pathway — Competency Framework and Certification Standard</dc:title>
  <dc:creator>Bulletproof Automations</dc:creator>
  <dc:description>Competency framework and certification standard, version 2.0 draft</dc:description>
  <cp:lastModifiedBy>Un-named</cp:lastModifiedBy>
  <cp:revision>1</cp:revision>
  <dcterms:created xsi:type="dcterms:W3CDTF">2026-08-08T21:00:00.926Z</dcterms:created>
  <dcterms:modified xsi:type="dcterms:W3CDTF">2026-08-08T21:00:00.927Z</dcterms:modified>
</cp:coreProperties>
</file>

<file path=docProps/custom.xml><?xml version="1.0" encoding="utf-8"?>
<Properties xmlns="http://schemas.openxmlformats.org/officeDocument/2006/custom-properties" xmlns:vt="http://schemas.openxmlformats.org/officeDocument/2006/docPropsVTypes"/>
</file>