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BEEF" w14:textId="77777777" w:rsidR="00B33134" w:rsidRDefault="00000000">
      <w:pPr>
        <w:pStyle w:val="Heading1"/>
      </w:pPr>
      <w:bookmarkStart w:id="0" w:name="cmgf-series-2026"/>
      <w:r>
        <w:t>CMGF Series 2026</w:t>
      </w:r>
      <w:bookmarkEnd w:id="0"/>
    </w:p>
    <w:p w14:paraId="1C7FAA99" w14:textId="77777777" w:rsidR="00B33134" w:rsidRDefault="00000000">
      <w:pPr>
        <w:pStyle w:val="Heading1"/>
      </w:pPr>
      <w:bookmarkStart w:id="1" w:name="cmgf-01-executive-white-paper"/>
      <w:r>
        <w:t>CMGF-01 Executive White Paper</w:t>
      </w:r>
      <w:bookmarkEnd w:id="1"/>
    </w:p>
    <w:p w14:paraId="68C065E7" w14:textId="77777777" w:rsidR="00B33134" w:rsidRDefault="00000000">
      <w:pPr>
        <w:pStyle w:val="FirstParagraph"/>
      </w:pPr>
      <w:r>
        <w:rPr>
          <w:b/>
        </w:rPr>
        <w:t>Career Mobility Governance Framework</w:t>
      </w:r>
      <w:r>
        <w:br/>
      </w:r>
      <w:r>
        <w:rPr>
          <w:b/>
        </w:rPr>
        <w:t>A Governance-First Architecture for Military Transition Advising</w:t>
      </w:r>
    </w:p>
    <w:p w14:paraId="38124335" w14:textId="77777777" w:rsidR="00B33134" w:rsidRDefault="00000000">
      <w:pPr>
        <w:pStyle w:val="BodyText"/>
      </w:pPr>
      <w:r>
        <w:rPr>
          <w:b/>
        </w:rPr>
        <w:t>Author: Robert E. McCoy</w:t>
      </w:r>
    </w:p>
    <w:p w14:paraId="0603CA9A" w14:textId="77777777" w:rsidR="00B33134" w:rsidRDefault="00000000">
      <w:pPr>
        <w:pStyle w:val="Heading2"/>
      </w:pPr>
      <w:bookmarkStart w:id="2" w:name="executive-summary"/>
      <w:r>
        <w:t>Executive Summary</w:t>
      </w:r>
      <w:bookmarkEnd w:id="2"/>
    </w:p>
    <w:p w14:paraId="5A802EF7" w14:textId="77777777" w:rsidR="00B33134" w:rsidRDefault="00000000">
      <w:pPr>
        <w:pStyle w:val="Heading3"/>
      </w:pPr>
      <w:bookmarkStart w:id="3" w:name="the-fragmentation-problem"/>
      <w:r>
        <w:t>The Fragmentation Problem</w:t>
      </w:r>
      <w:bookmarkEnd w:id="3"/>
    </w:p>
    <w:p w14:paraId="02969C57" w14:textId="77777777" w:rsidR="00B33134" w:rsidRDefault="00000000">
      <w:pPr>
        <w:pStyle w:val="FirstParagraph"/>
      </w:pPr>
      <w:r>
        <w:t>Military servicemembers transitioning to civilian careers face a systemically fragmented landscape. Credentials earned through military training, civilian education, and professional certifications are issued by independent authorities operating without coordination. Federal education benefits, transition assistance programs, workforce development funding, and credentialing policies exist in parallel but rarely intersect in ways that create clear pathways for individual learners.</w:t>
      </w:r>
    </w:p>
    <w:p w14:paraId="66F86A94" w14:textId="77777777" w:rsidR="00B33134" w:rsidRDefault="00000000">
      <w:pPr>
        <w:pStyle w:val="BodyText"/>
      </w:pPr>
      <w:r>
        <w:t>This fragmentation is not a failure of effort. It is a structural reality of American federalism and decentralized credentialing authority. No single institution holds the mandate or capacity to unify these systems. The result is that servicemembers must navigate complex, often contradictory rules about credit transfer, credential recognition, benefit eligibility, and career pathway sequencing without integrated guidance.</w:t>
      </w:r>
    </w:p>
    <w:p w14:paraId="631D99B7" w14:textId="77777777" w:rsidR="00B33134" w:rsidRDefault="00000000">
      <w:pPr>
        <w:pStyle w:val="BodyText"/>
      </w:pPr>
      <w:r>
        <w:t>The 2026 Council of Colleges and Military Educators (CCME) identified five pillars under Learner Track 1 that define this ecosystem:</w:t>
      </w:r>
    </w:p>
    <w:p w14:paraId="019EEC2F" w14:textId="77777777" w:rsidR="00B33134"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48D76D5D" w14:textId="77777777" w:rsidR="00B33134"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0B8B5BA9" w14:textId="77777777" w:rsidR="00B33134"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7C481D49" w14:textId="77777777" w:rsidR="00B33134"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759870E1" w14:textId="77777777" w:rsidR="00B33134" w:rsidRDefault="00000000">
      <w:pPr>
        <w:pStyle w:val="BodyText"/>
      </w:pPr>
      <w:r>
        <w:rPr>
          <w:b/>
        </w:rPr>
        <w:lastRenderedPageBreak/>
        <w:t>5. Voice of the Veteran</w:t>
      </w:r>
      <w:r>
        <w:br/>
        <w:t>Centering lived experience, reported friction, and user perspective in the design and evaluation of transition systems, preserving human agency and authority.</w:t>
      </w:r>
    </w:p>
    <w:p w14:paraId="742F4F36" w14:textId="77777777" w:rsidR="00B33134" w:rsidRDefault="00000000">
      <w:pPr>
        <w:pStyle w:val="BodyText"/>
      </w:pPr>
      <w:r>
        <w:t xml:space="preserve">Each pillar represents a domain of policy, funding, and institutional authority. Currently, these pillars operate in isolation. Advisors, institutions, and learners lack tools to see how decisions in one domain affect eligibility, sequencing, or outcomes in another. The </w:t>
      </w:r>
      <w:r>
        <w:rPr>
          <w:b/>
        </w:rPr>
        <w:t>Voice of the Veteran</w:t>
      </w:r>
      <w:r>
        <w:t xml:space="preserve"> pillar is particularly critical: it ensures that systems are designed not from institutional convenience but from the lived experience of those navigating these transitions.</w:t>
      </w:r>
    </w:p>
    <w:p w14:paraId="55FEC4F9" w14:textId="77777777" w:rsidR="00B33134" w:rsidRDefault="00000000">
      <w:pPr>
        <w:pStyle w:val="Heading3"/>
      </w:pPr>
      <w:bookmarkStart w:id="4" w:name="X011cba28fd59140bf749d55704bccbf6e3dcca3"/>
      <w:r>
        <w:t>The Misalignment of Current AI Approaches</w:t>
      </w:r>
      <w:bookmarkEnd w:id="4"/>
    </w:p>
    <w:p w14:paraId="29D77620" w14:textId="77777777" w:rsidR="00B33134" w:rsidRDefault="00000000">
      <w:pPr>
        <w:pStyle w:val="FirstParagraph"/>
      </w:pPr>
      <w:r>
        <w:t>As artificial intelligence becomes more prevalent in education and workforce systems, the default applications focus on prediction, optimization, and automation. These approaches are designed to maximize efficiency by recommending “best” pathways, scoring individuals for fit, or automating approval decisions.</w:t>
      </w:r>
    </w:p>
    <w:p w14:paraId="49DB7228" w14:textId="77777777" w:rsidR="00B33134" w:rsidRDefault="00000000">
      <w:pPr>
        <w:pStyle w:val="BodyText"/>
      </w:pPr>
      <w:r>
        <w:t>In public sector contexts, particularly those involving federal benefits, credentialing standards, and career-impacting guidance, these approaches create serious risks:</w:t>
      </w:r>
    </w:p>
    <w:p w14:paraId="02B73BC8" w14:textId="77777777" w:rsidR="00B33134" w:rsidRDefault="00000000">
      <w:pPr>
        <w:pStyle w:val="Compact"/>
        <w:numPr>
          <w:ilvl w:val="0"/>
          <w:numId w:val="2"/>
        </w:numPr>
      </w:pPr>
      <w:r>
        <w:rPr>
          <w:b/>
        </w:rPr>
        <w:t>Predictive models</w:t>
      </w:r>
      <w:r>
        <w:t xml:space="preserve"> rely on historical patterns that may encode bias or exclude emerging opportunities</w:t>
      </w:r>
    </w:p>
    <w:p w14:paraId="4A7D1390" w14:textId="77777777" w:rsidR="00B33134" w:rsidRDefault="00000000">
      <w:pPr>
        <w:pStyle w:val="Compact"/>
        <w:numPr>
          <w:ilvl w:val="0"/>
          <w:numId w:val="2"/>
        </w:numPr>
      </w:pPr>
      <w:r>
        <w:rPr>
          <w:b/>
        </w:rPr>
        <w:t>Optimization algorithms</w:t>
      </w:r>
      <w:r>
        <w:t xml:space="preserve"> assume a single objective function, which does not exist in multi-stakeholder transition ecosystems</w:t>
      </w:r>
    </w:p>
    <w:p w14:paraId="3B646617" w14:textId="77777777" w:rsidR="00B33134" w:rsidRDefault="00000000">
      <w:pPr>
        <w:pStyle w:val="Compact"/>
        <w:numPr>
          <w:ilvl w:val="0"/>
          <w:numId w:val="2"/>
        </w:numPr>
      </w:pPr>
      <w:r>
        <w:rPr>
          <w:b/>
        </w:rPr>
        <w:t>Automated decision-making</w:t>
      </w:r>
      <w:r>
        <w:t xml:space="preserve"> transfers authority away from institutions and individuals, creating accountability gaps</w:t>
      </w:r>
    </w:p>
    <w:p w14:paraId="15AD449E" w14:textId="77777777" w:rsidR="00B33134" w:rsidRDefault="00000000">
      <w:pPr>
        <w:pStyle w:val="Compact"/>
        <w:numPr>
          <w:ilvl w:val="0"/>
          <w:numId w:val="2"/>
        </w:numPr>
      </w:pPr>
      <w:r>
        <w:rPr>
          <w:b/>
        </w:rPr>
        <w:t>Individual scoring systems</w:t>
      </w:r>
      <w:r>
        <w:t xml:space="preserve"> can label learners in ways that limit options or reinforce inequities</w:t>
      </w:r>
    </w:p>
    <w:p w14:paraId="332E2715" w14:textId="77777777" w:rsidR="00B33134" w:rsidRDefault="00000000">
      <w:pPr>
        <w:pStyle w:val="FirstParagraph"/>
      </w:pPr>
      <w:r>
        <w:t>These risks are not hypothetical. Federal guidance from the Office of Management and Budget (OMB), the National Institute of Standards and Technology (NIST), and executive orders on AI emphasize that high-impact public systems must preserve human authority, ensure transparency, and avoid encoding bias into automated decisions.</w:t>
      </w:r>
    </w:p>
    <w:p w14:paraId="0C9E27A0" w14:textId="77777777" w:rsidR="00B33134" w:rsidRDefault="00000000">
      <w:pPr>
        <w:pStyle w:val="BodyText"/>
      </w:pPr>
      <w:r>
        <w:t>Current AI advising tools, built primarily for commercial education or corporate HR contexts, are not designed to meet these governance standards. Applying them to military transition advising without architectural redesign introduces risks that institutions may not be equipped to manage.</w:t>
      </w:r>
    </w:p>
    <w:p w14:paraId="2A62D42E" w14:textId="77777777" w:rsidR="00B33134" w:rsidRDefault="00000000">
      <w:pPr>
        <w:pStyle w:val="Heading3"/>
      </w:pPr>
      <w:bookmarkStart w:id="5" w:name="X76c6acd5d1ada68597f2d66b2d6369b5be42658"/>
      <w:r>
        <w:t>AI as Governance-Aligned Binding Infrastructure</w:t>
      </w:r>
      <w:bookmarkEnd w:id="5"/>
    </w:p>
    <w:p w14:paraId="2C72C540" w14:textId="77777777" w:rsidR="00B33134" w:rsidRDefault="00000000">
      <w:pPr>
        <w:pStyle w:val="FirstParagraph"/>
      </w:pPr>
      <w:r>
        <w:t xml:space="preserve">This white paper introduces an alternative model: </w:t>
      </w:r>
      <w:r>
        <w:rPr>
          <w:b/>
        </w:rPr>
        <w:t>a governance-constrained architecture where AI functions as binding infrastructure rather than decision engine</w:t>
      </w:r>
      <w:r>
        <w:t>. Instead of predicting outcomes or recommending pathways, the system encodes authoritative policy rules, surfaces conflicts, and preserves human decision authority at every stage.</w:t>
      </w:r>
    </w:p>
    <w:p w14:paraId="4A05E83D" w14:textId="77777777" w:rsidR="00B33134" w:rsidRDefault="00000000">
      <w:pPr>
        <w:pStyle w:val="BodyText"/>
      </w:pPr>
      <w:r>
        <w:lastRenderedPageBreak/>
        <w:t xml:space="preserve">The </w:t>
      </w:r>
      <w:r>
        <w:rPr>
          <w:b/>
        </w:rPr>
        <w:t>Career Mobility Governance Framework (CMGF)</w:t>
      </w:r>
      <w:r>
        <w:t xml:space="preserve"> is a governance-constrained architecture designed to support military transition advising by:</w:t>
      </w:r>
    </w:p>
    <w:p w14:paraId="5FAB4AA5" w14:textId="77777777" w:rsidR="00B33134" w:rsidRDefault="00000000">
      <w:pPr>
        <w:pStyle w:val="Compact"/>
        <w:numPr>
          <w:ilvl w:val="0"/>
          <w:numId w:val="3"/>
        </w:numPr>
      </w:pPr>
      <w:r>
        <w:rPr>
          <w:b/>
        </w:rPr>
        <w:t>Encoding policy constraints</w:t>
      </w:r>
      <w:r>
        <w:t xml:space="preserve"> from federal law, state regulation, accreditation standards, and institutional agreements into machine-readable logic</w:t>
      </w:r>
    </w:p>
    <w:p w14:paraId="495B77A7" w14:textId="77777777" w:rsidR="00B33134" w:rsidRDefault="00000000">
      <w:pPr>
        <w:pStyle w:val="Compact"/>
        <w:numPr>
          <w:ilvl w:val="0"/>
          <w:numId w:val="3"/>
        </w:numPr>
      </w:pPr>
      <w:r>
        <w:rPr>
          <w:b/>
        </w:rPr>
        <w:t>Binding authoritative signals</w:t>
      </w:r>
      <w:r>
        <w:t xml:space="preserve"> across credential, benefit, and workforce domains without predicting individual outcomes</w:t>
      </w:r>
    </w:p>
    <w:p w14:paraId="550A2818" w14:textId="77777777" w:rsidR="00B33134" w:rsidRDefault="00000000">
      <w:pPr>
        <w:pStyle w:val="Compact"/>
        <w:numPr>
          <w:ilvl w:val="0"/>
          <w:numId w:val="3"/>
        </w:numPr>
      </w:pPr>
      <w:r>
        <w:rPr>
          <w:b/>
        </w:rPr>
        <w:t>Surfacing conflicts and ambiguities</w:t>
      </w:r>
      <w:r>
        <w:t xml:space="preserve"> for human resolution rather than algorithmic approximation</w:t>
      </w:r>
    </w:p>
    <w:p w14:paraId="01B1062D" w14:textId="77777777" w:rsidR="00B33134" w:rsidRDefault="00000000">
      <w:pPr>
        <w:pStyle w:val="Compact"/>
        <w:numPr>
          <w:ilvl w:val="0"/>
          <w:numId w:val="3"/>
        </w:numPr>
      </w:pPr>
      <w:r>
        <w:rPr>
          <w:b/>
        </w:rPr>
        <w:t>Preserving advisor and learner authority</w:t>
      </w:r>
      <w:r>
        <w:t xml:space="preserve"> over all consequential decisions. The system operates in two modes: Exploration Mode (sandbox) for private, non-reportable SM planning and Action Mode for institutional transactions requiring authority</w:t>
      </w:r>
    </w:p>
    <w:p w14:paraId="7F469D92" w14:textId="77777777" w:rsidR="00B33134" w:rsidRDefault="00000000">
      <w:pPr>
        <w:pStyle w:val="Compact"/>
        <w:numPr>
          <w:ilvl w:val="0"/>
          <w:numId w:val="3"/>
        </w:numPr>
      </w:pPr>
      <w:r>
        <w:rPr>
          <w:b/>
        </w:rPr>
        <w:t>Creating audit trails</w:t>
      </w:r>
      <w:r>
        <w:t xml:space="preserve"> that trace every output to its authoritative source</w:t>
      </w:r>
    </w:p>
    <w:p w14:paraId="5317F735" w14:textId="77777777" w:rsidR="00B33134" w:rsidRDefault="00000000">
      <w:pPr>
        <w:pStyle w:val="FirstParagraph"/>
      </w:pPr>
      <w:r>
        <w:t xml:space="preserve">This approach aligns with federal AI governance requirements, reduces institutional risk, and creates conditions for incremental policy harmonization. It treats transparency, accountability, and the </w:t>
      </w:r>
      <w:r>
        <w:rPr>
          <w:b/>
        </w:rPr>
        <w:t>Voice of the Veteran</w:t>
      </w:r>
      <w:r>
        <w:t xml:space="preserve"> as design requirements, not aspirational goals.</w:t>
      </w:r>
    </w:p>
    <w:p w14:paraId="59737EE6" w14:textId="77777777" w:rsidR="00B33134" w:rsidRDefault="00000000">
      <w:pPr>
        <w:pStyle w:val="BodyText"/>
      </w:pPr>
      <w:r>
        <w:t>The framework demonstrates that AI can reduce complexity and improve decision support without introducing the risks of predictive modeling, automated decision-making, or individual profiling. Governance comes first. AI serves as constrained mediation infrastructure. While this white paper demonstrates the architecture within the education services and credentialing domain, the binding-layer design is applicable across any institutional context where multiple independent authorities issue rules affecting the same individual and no single authority holds the mandate to unify the information landscape.</w:t>
      </w:r>
    </w:p>
    <w:p w14:paraId="0508D838" w14:textId="77777777" w:rsidR="00B33134" w:rsidRDefault="00000000">
      <w:pPr>
        <w:pStyle w:val="Heading2"/>
      </w:pPr>
      <w:bookmarkStart w:id="6" w:name="the-structural-problem"/>
      <w:r>
        <w:t>The Structural Problem</w:t>
      </w:r>
      <w:bookmarkEnd w:id="6"/>
    </w:p>
    <w:p w14:paraId="3F5B869B" w14:textId="77777777" w:rsidR="00B33134" w:rsidRDefault="00000000">
      <w:pPr>
        <w:pStyle w:val="Heading3"/>
      </w:pPr>
      <w:bookmarkStart w:id="7" w:name="X27d801bb331a59bf9a7c6b21aa6a1ba5d25db6f"/>
      <w:r>
        <w:t>Decentralized Authority in Military Transition Ecosystems</w:t>
      </w:r>
      <w:bookmarkEnd w:id="7"/>
    </w:p>
    <w:p w14:paraId="3547ACDE" w14:textId="77777777" w:rsidR="00B33134" w:rsidRDefault="00000000">
      <w:pPr>
        <w:pStyle w:val="FirstParagraph"/>
      </w:pPr>
      <w:r>
        <w:t>The challenge facing military learners is not a lack of programs, benefits, or credentials. It is the absence of coordinated authority across the institutions that issue, recognize, and fund those credentials.</w:t>
      </w:r>
    </w:p>
    <w:p w14:paraId="19BFA235" w14:textId="77777777" w:rsidR="00B33134" w:rsidRDefault="00000000">
      <w:pPr>
        <w:pStyle w:val="BodyText"/>
      </w:pPr>
      <w:r>
        <w:t>Military transition advising operates at the intersection of multiple independent authority structures:</w:t>
      </w:r>
    </w:p>
    <w:p w14:paraId="67BE91C2" w14:textId="77777777" w:rsidR="00B33134" w:rsidRDefault="00000000">
      <w:pPr>
        <w:pStyle w:val="BodyText"/>
      </w:pPr>
      <w:r>
        <w:rPr>
          <w:b/>
        </w:rPr>
        <w:t>Federal Statutory Authority</w:t>
      </w:r>
      <w:r>
        <w:br/>
        <w:t>The Department of Veterans Affairs administers GI Bill benefits under Title 38 U.S.C. The Department of Defense oversees transition assistance programs under 10 U.S.C. The Department of Labor manages workforce development funding through the Workforce Innovation and Opportunity Act. Each operates under distinct eligibility rules, approval processes, and reporting requirements.</w:t>
      </w:r>
    </w:p>
    <w:p w14:paraId="14EABCC2" w14:textId="77777777" w:rsidR="00B33134" w:rsidRDefault="00000000">
      <w:pPr>
        <w:pStyle w:val="BodyText"/>
      </w:pPr>
      <w:r>
        <w:rPr>
          <w:b/>
        </w:rPr>
        <w:lastRenderedPageBreak/>
        <w:t>State Regulatory Authority</w:t>
      </w:r>
      <w:r>
        <w:br/>
        <w:t>Professional licensing is governed by state boards with independent standards for education, examination, and experience. Transfer credit policies are set by state higher education coordinating bodies. Apprenticeship programs are registered with state labor agencies. No two states use identical criteria.</w:t>
      </w:r>
    </w:p>
    <w:p w14:paraId="0C582CEE" w14:textId="77777777" w:rsidR="00B33134" w:rsidRDefault="00000000">
      <w:pPr>
        <w:pStyle w:val="BodyText"/>
      </w:pPr>
      <w:r>
        <w:rPr>
          <w:b/>
        </w:rPr>
        <w:t>Accreditation and Credentialing Authority</w:t>
      </w:r>
      <w:r>
        <w:br/>
        <w:t>Programmatic accreditors such as ACEN (nursing), ABET (engineering), and CACREP (counseling) set curriculum and competency standards that institutions must meet to grant recognized credentials. These standards are not legally binding but are enforced through institutional accreditation, which determines federal funding eligibility.</w:t>
      </w:r>
    </w:p>
    <w:p w14:paraId="2DC060C2" w14:textId="77777777" w:rsidR="00B33134" w:rsidRDefault="00000000">
      <w:pPr>
        <w:pStyle w:val="BodyText"/>
      </w:pPr>
      <w:r>
        <w:rPr>
          <w:b/>
        </w:rPr>
        <w:t>Institutional Authority</w:t>
      </w:r>
      <w:r>
        <w:br/>
        <w:t>Colleges and universities retain authority over admissions, credit transfer, degree requirements, and credential conferral. Policies vary by institution, program, and even individual faculty interpretation. Military credit recommendations from the American Council on Education (ACE) are advisory, not binding.</w:t>
      </w:r>
    </w:p>
    <w:p w14:paraId="484CB217" w14:textId="77777777" w:rsidR="00B33134" w:rsidRDefault="00000000">
      <w:pPr>
        <w:pStyle w:val="BodyText"/>
      </w:pPr>
      <w:r>
        <w:rPr>
          <w:b/>
        </w:rPr>
        <w:t>Labor Market and Employer Standards</w:t>
      </w:r>
      <w:r>
        <w:br/>
        <w:t>Employers set hiring criteria, certification preferences, and advancement requirements independently. Industry certifications (CompTIA, PMI, AWS) operate as private credentialing systems with their own governance structures.</w:t>
      </w:r>
    </w:p>
    <w:p w14:paraId="4158FE5D" w14:textId="77777777" w:rsidR="00B33134" w:rsidRDefault="00000000">
      <w:pPr>
        <w:pStyle w:val="BodyText"/>
      </w:pPr>
      <w:r>
        <w:t>This is not a failure of coordination. It is the design of American federalism and institutional autonomy. No single entity has the authority to dictate terms across these domains. Attempts to centralize control are politically, legally, and operationally infeasible.</w:t>
      </w:r>
    </w:p>
    <w:p w14:paraId="0E22FFBE" w14:textId="77777777" w:rsidR="00B33134" w:rsidRDefault="00000000">
      <w:pPr>
        <w:pStyle w:val="Heading3"/>
      </w:pPr>
      <w:bookmarkStart w:id="8" w:name="the-advisors-dilemma"/>
      <w:r>
        <w:t>The Advisor’s Dilemma</w:t>
      </w:r>
      <w:bookmarkEnd w:id="8"/>
    </w:p>
    <w:p w14:paraId="6FB9DA36" w14:textId="77777777" w:rsidR="00B33134" w:rsidRDefault="00000000">
      <w:pPr>
        <w:pStyle w:val="FirstParagraph"/>
      </w:pPr>
      <w:r>
        <w:t>Advisors working with military learners must navigate this decentralized authority structure without tools designed for the task. They are expected to:</w:t>
      </w:r>
    </w:p>
    <w:p w14:paraId="47F540AE" w14:textId="77777777" w:rsidR="00B33134" w:rsidRDefault="00000000">
      <w:pPr>
        <w:pStyle w:val="Compact"/>
        <w:numPr>
          <w:ilvl w:val="0"/>
          <w:numId w:val="4"/>
        </w:numPr>
      </w:pPr>
      <w:r>
        <w:t>Interpret federal benefit eligibility rules that change annually</w:t>
      </w:r>
    </w:p>
    <w:p w14:paraId="26BF1ED1" w14:textId="77777777" w:rsidR="00B33134" w:rsidRDefault="00000000">
      <w:pPr>
        <w:pStyle w:val="Compact"/>
        <w:numPr>
          <w:ilvl w:val="0"/>
          <w:numId w:val="4"/>
        </w:numPr>
      </w:pPr>
      <w:r>
        <w:t>Understand state-specific licensing requirements across 50 jurisdictions</w:t>
      </w:r>
    </w:p>
    <w:p w14:paraId="0D0DF5F8" w14:textId="77777777" w:rsidR="00B33134" w:rsidRDefault="00000000">
      <w:pPr>
        <w:pStyle w:val="Compact"/>
        <w:numPr>
          <w:ilvl w:val="0"/>
          <w:numId w:val="4"/>
        </w:numPr>
      </w:pPr>
      <w:r>
        <w:t>Track institutional transfer credit policies that are not publicly standardized</w:t>
      </w:r>
    </w:p>
    <w:p w14:paraId="6BA1EDDA" w14:textId="77777777" w:rsidR="00B33134" w:rsidRDefault="00000000">
      <w:pPr>
        <w:pStyle w:val="Compact"/>
        <w:numPr>
          <w:ilvl w:val="0"/>
          <w:numId w:val="4"/>
        </w:numPr>
      </w:pPr>
      <w:r>
        <w:t>Translate military occupational specialties into civilian credential equivalents</w:t>
      </w:r>
    </w:p>
    <w:p w14:paraId="3E2EBE54" w14:textId="77777777" w:rsidR="00B33134" w:rsidRDefault="00000000">
      <w:pPr>
        <w:pStyle w:val="Compact"/>
        <w:numPr>
          <w:ilvl w:val="0"/>
          <w:numId w:val="4"/>
        </w:numPr>
      </w:pPr>
      <w:r>
        <w:t>Sequence credentials to maximize benefit usage while meeting career goals</w:t>
      </w:r>
    </w:p>
    <w:p w14:paraId="2248795B" w14:textId="77777777" w:rsidR="00B33134" w:rsidRDefault="00000000">
      <w:pPr>
        <w:pStyle w:val="Compact"/>
        <w:numPr>
          <w:ilvl w:val="0"/>
          <w:numId w:val="4"/>
        </w:numPr>
      </w:pPr>
      <w:r>
        <w:t>Identify conflicts between funding sources, program requirements, and employment timelines</w:t>
      </w:r>
    </w:p>
    <w:p w14:paraId="51644D8F" w14:textId="77777777" w:rsidR="00B33134" w:rsidRDefault="00000000">
      <w:pPr>
        <w:pStyle w:val="FirstParagraph"/>
      </w:pPr>
      <w:r>
        <w:t>No single advisor possesses this knowledge. No single institution maintains complete, current information across all domains. Advisors rely on fragmented resources, institutional memory, and case-by-case problem-solving.</w:t>
      </w:r>
    </w:p>
    <w:p w14:paraId="100034F4" w14:textId="77777777" w:rsidR="00B33134" w:rsidRDefault="00000000">
      <w:pPr>
        <w:pStyle w:val="BodyText"/>
      </w:pPr>
      <w:r>
        <w:t xml:space="preserve">The result is that </w:t>
      </w:r>
      <w:r>
        <w:rPr>
          <w:b/>
        </w:rPr>
        <w:t>advising quality varies dramatically</w:t>
      </w:r>
      <w:r>
        <w:t xml:space="preserve"> based on advisor experience, institutional resources, and the specific combination of credentials and benefits a learner </w:t>
      </w:r>
      <w:r>
        <w:lastRenderedPageBreak/>
        <w:t xml:space="preserve">presents. The </w:t>
      </w:r>
      <w:r>
        <w:rPr>
          <w:b/>
        </w:rPr>
        <w:t>Voice of the Veteran</w:t>
      </w:r>
      <w:r>
        <w:t xml:space="preserve"> consistently reports that navigating these systems feels opaque, inconsistent, and overwhelming.</w:t>
      </w:r>
    </w:p>
    <w:p w14:paraId="72FC2B7C" w14:textId="77777777" w:rsidR="00B33134" w:rsidRDefault="00000000">
      <w:pPr>
        <w:pStyle w:val="Heading3"/>
      </w:pPr>
      <w:bookmarkStart w:id="9" w:name="the-limits-of-current-tools"/>
      <w:r>
        <w:t>The Limits of Current Tools</w:t>
      </w:r>
      <w:bookmarkEnd w:id="9"/>
    </w:p>
    <w:p w14:paraId="4F1D32C0" w14:textId="77777777" w:rsidR="00B33134" w:rsidRDefault="00000000">
      <w:pPr>
        <w:pStyle w:val="FirstParagraph"/>
      </w:pPr>
      <w:r>
        <w:t>Existing advising tools fall into three categories, none of which addresses the structural problem:</w:t>
      </w:r>
    </w:p>
    <w:p w14:paraId="2E30CF96" w14:textId="77777777" w:rsidR="00B33134" w:rsidRDefault="00000000">
      <w:pPr>
        <w:pStyle w:val="BodyText"/>
      </w:pPr>
      <w:r>
        <w:rPr>
          <w:b/>
        </w:rPr>
        <w:t>Benefit Calculators</w:t>
      </w:r>
      <w:r>
        <w:br/>
        <w:t>Tools like the VA’s GI Bill Comparison Tool provide information about benefit amounts and school characteristics but do not integrate credentialing requirements, transfer credit policies, or career sequencing logic.</w:t>
      </w:r>
    </w:p>
    <w:p w14:paraId="21986D2F" w14:textId="77777777" w:rsidR="00B33134" w:rsidRDefault="00000000">
      <w:pPr>
        <w:pStyle w:val="BodyText"/>
      </w:pPr>
      <w:r>
        <w:rPr>
          <w:b/>
        </w:rPr>
        <w:t>Credential Mapping Databases</w:t>
      </w:r>
      <w:r>
        <w:br/>
        <w:t>Resources like O*NET and ACE Military Guide provide crosswalks between military experience and civilian credentials but do not encode eligibility rules, prerequisite sequences, or benefit funding constraints.</w:t>
      </w:r>
    </w:p>
    <w:p w14:paraId="6FA166AF" w14:textId="77777777" w:rsidR="00B33134" w:rsidRDefault="00000000">
      <w:pPr>
        <w:pStyle w:val="BodyText"/>
      </w:pPr>
      <w:r>
        <w:rPr>
          <w:b/>
        </w:rPr>
        <w:t>Commercial AI Advising Platforms</w:t>
      </w:r>
      <w:r>
        <w:br/>
        <w:t>Predictive recommendation engines suggest pathways based on historical patterns but do not verify policy compliance, surface conflicts, or preserve human authority. They optimize for completion or placement metrics that may not align with individual goals or governance requirements.</w:t>
      </w:r>
    </w:p>
    <w:p w14:paraId="1DED33C6" w14:textId="77777777" w:rsidR="00B33134" w:rsidRDefault="00000000">
      <w:pPr>
        <w:pStyle w:val="BodyText"/>
      </w:pPr>
      <w:r>
        <w:t xml:space="preserve">None of these tools bind authoritative rules across domains. None preserve the </w:t>
      </w:r>
      <w:r>
        <w:rPr>
          <w:b/>
        </w:rPr>
        <w:t>Voice of the Veteran</w:t>
      </w:r>
      <w:r>
        <w:t xml:space="preserve"> in system design. None are architected to meet federal AI governance standards for high-impact public systems.</w:t>
      </w:r>
    </w:p>
    <w:p w14:paraId="7028624F" w14:textId="77777777" w:rsidR="00B33134" w:rsidRDefault="00000000">
      <w:pPr>
        <w:pStyle w:val="Heading2"/>
      </w:pPr>
      <w:bookmarkStart w:id="10" w:name="the-governance-constrained-architecture"/>
      <w:r>
        <w:t>The Governance-Constrained Architecture</w:t>
      </w:r>
      <w:bookmarkEnd w:id="10"/>
    </w:p>
    <w:p w14:paraId="58507459" w14:textId="77777777" w:rsidR="00B33134" w:rsidRDefault="00000000">
      <w:pPr>
        <w:pStyle w:val="Heading3"/>
      </w:pPr>
      <w:bookmarkStart w:id="11" w:name="X1e6d0c198332cc8c27b3151cd45119ef6dff25d"/>
      <w:r>
        <w:t>Authority Decomposition and Constraint Binding</w:t>
      </w:r>
      <w:bookmarkEnd w:id="11"/>
    </w:p>
    <w:p w14:paraId="218C59B8" w14:textId="77777777" w:rsidR="00B33134" w:rsidRDefault="00000000">
      <w:pPr>
        <w:pStyle w:val="FirstParagraph"/>
      </w:pPr>
      <w:r>
        <w:t xml:space="preserve">The </w:t>
      </w:r>
      <w:r>
        <w:rPr>
          <w:b/>
        </w:rPr>
        <w:t>Career Mobility Governance Framework (CMGF)</w:t>
      </w:r>
      <w:r>
        <w:t xml:space="preserve"> begins with a fundamental design principle: </w:t>
      </w:r>
      <w:r>
        <w:rPr>
          <w:b/>
        </w:rPr>
        <w:t>AI does not create policy; it encodes policy created by authoritative institutions</w:t>
      </w:r>
      <w:r>
        <w:t>.</w:t>
      </w:r>
    </w:p>
    <w:p w14:paraId="205AA417" w14:textId="77777777" w:rsidR="00B33134" w:rsidRDefault="00000000">
      <w:pPr>
        <w:pStyle w:val="BodyText"/>
      </w:pPr>
      <w:r>
        <w:t>The architecture decomposes authority into four tiers:</w:t>
      </w:r>
    </w:p>
    <w:p w14:paraId="5055BB54" w14:textId="77777777" w:rsidR="00B33134" w:rsidRDefault="00000000">
      <w:pPr>
        <w:pStyle w:val="BodyText"/>
      </w:pPr>
      <w:r>
        <w:rPr>
          <w:b/>
        </w:rPr>
        <w:t>Tier A: Statutory and Regulatory Authority</w:t>
      </w:r>
      <w:r>
        <w:br/>
        <w:t>Federal and state laws that create binding constraints. Examples include GI Bill eligibility criteria (38 U.S.C. § 3313), state nursing licensure requirements, and Occupational Safety and Health Administration (OSHA) training mandates. These are hard constraints that cannot be approximated or overridden.</w:t>
      </w:r>
    </w:p>
    <w:p w14:paraId="04006F78" w14:textId="77777777" w:rsidR="00B33134" w:rsidRDefault="00000000">
      <w:pPr>
        <w:pStyle w:val="BodyText"/>
      </w:pPr>
      <w:r>
        <w:rPr>
          <w:b/>
        </w:rPr>
        <w:t>Tier B: Credentialing and Accreditation Standards</w:t>
      </w:r>
      <w:r>
        <w:br/>
        <w:t xml:space="preserve">Requirements set by accrediting bodies and professional certification organizations. Examples include ACEN nursing curriculum standards, ABET engineering program criteria, and Project Management Institute (PMI) certification prerequisites. These are conditional </w:t>
      </w:r>
      <w:r>
        <w:lastRenderedPageBreak/>
        <w:t>constraints that institutions may interpret differently but must meet to confer recognized credentials.</w:t>
      </w:r>
    </w:p>
    <w:p w14:paraId="1FC0FBED" w14:textId="77777777" w:rsidR="00B33134" w:rsidRDefault="00000000">
      <w:pPr>
        <w:pStyle w:val="BodyText"/>
      </w:pPr>
      <w:r>
        <w:rPr>
          <w:b/>
        </w:rPr>
        <w:t>Tier C: Institutional and Transfer Agreements</w:t>
      </w:r>
      <w:r>
        <w:br/>
        <w:t>Policies set by colleges, universities, and consortia regarding credit transfer, prior learning assessment, and degree requirements. Examples include articulation agreements, transfer credit matrices, and military-friendly policies. These are institution-specific constraints that vary widely.</w:t>
      </w:r>
    </w:p>
    <w:p w14:paraId="498D88D1" w14:textId="77777777" w:rsidR="00B33134" w:rsidRDefault="00000000">
      <w:pPr>
        <w:pStyle w:val="BodyText"/>
      </w:pPr>
      <w:r>
        <w:rPr>
          <w:b/>
        </w:rPr>
        <w:t>Tier D: Labor Market and Descriptive Data</w:t>
      </w:r>
      <w:r>
        <w:br/>
        <w:t>Information about job outlook, salary ranges, and employer preferences from sources like the Bureau of Labor Statistics (BLS) and O*NET. These are contextual signals, not binding constraints. They inform decisions but do not dictate eligibility or sequencing.</w:t>
      </w:r>
    </w:p>
    <w:p w14:paraId="55C68BF9" w14:textId="77777777" w:rsidR="00B33134" w:rsidRDefault="00000000">
      <w:pPr>
        <w:pStyle w:val="BodyText"/>
      </w:pPr>
      <w:r>
        <w:t xml:space="preserve">The framework encodes these tiers into machine-readable logic using a </w:t>
      </w:r>
      <w:r>
        <w:rPr>
          <w:b/>
        </w:rPr>
        <w:t>constraint binding process</w:t>
      </w:r>
      <w:r>
        <w:t>:</w:t>
      </w:r>
    </w:p>
    <w:p w14:paraId="3CF4A553" w14:textId="77777777" w:rsidR="00B33134" w:rsidRDefault="00000000">
      <w:pPr>
        <w:pStyle w:val="Compact"/>
        <w:numPr>
          <w:ilvl w:val="0"/>
          <w:numId w:val="5"/>
        </w:numPr>
      </w:pPr>
      <w:r>
        <w:rPr>
          <w:b/>
        </w:rPr>
        <w:t>Source Validation</w:t>
      </w:r>
      <w:r>
        <w:t>: Verify that each rule originates from an authoritative source with a documented chain of custody.</w:t>
      </w:r>
    </w:p>
    <w:p w14:paraId="10774124" w14:textId="77777777" w:rsidR="00B33134" w:rsidRDefault="00000000">
      <w:pPr>
        <w:pStyle w:val="Compact"/>
        <w:numPr>
          <w:ilvl w:val="0"/>
          <w:numId w:val="5"/>
        </w:numPr>
      </w:pPr>
      <w:r>
        <w:rPr>
          <w:b/>
        </w:rPr>
        <w:t>Authority Tagging</w:t>
      </w:r>
      <w:r>
        <w:t>: Assign each rule to its appropriate tier and document the scope of its authority (federal, state, institutional, descriptive).</w:t>
      </w:r>
    </w:p>
    <w:p w14:paraId="4A0AA957" w14:textId="77777777" w:rsidR="00B33134" w:rsidRDefault="00000000">
      <w:pPr>
        <w:pStyle w:val="Compact"/>
        <w:numPr>
          <w:ilvl w:val="0"/>
          <w:numId w:val="5"/>
        </w:numPr>
      </w:pPr>
      <w:r>
        <w:rPr>
          <w:b/>
        </w:rPr>
        <w:t>Conflict Detection</w:t>
      </w:r>
      <w:r>
        <w:t>: Identify where rules from different authorities contradict or create impossible sequences.</w:t>
      </w:r>
    </w:p>
    <w:p w14:paraId="160F4F57" w14:textId="77777777" w:rsidR="00B33134" w:rsidRDefault="00000000">
      <w:pPr>
        <w:pStyle w:val="Compact"/>
        <w:numPr>
          <w:ilvl w:val="0"/>
          <w:numId w:val="5"/>
        </w:numPr>
      </w:pPr>
      <w:r>
        <w:rPr>
          <w:b/>
        </w:rPr>
        <w:t>Human Resolution</w:t>
      </w:r>
      <w:r>
        <w:t>: Surface conflicts to advisors and policymakers for interpretation rather than algorithmic approximation.</w:t>
      </w:r>
    </w:p>
    <w:p w14:paraId="64638330" w14:textId="77777777" w:rsidR="00B33134" w:rsidRDefault="00000000">
      <w:pPr>
        <w:pStyle w:val="Compact"/>
        <w:numPr>
          <w:ilvl w:val="0"/>
          <w:numId w:val="5"/>
        </w:numPr>
      </w:pPr>
      <w:r>
        <w:rPr>
          <w:b/>
        </w:rPr>
        <w:t>Audit Logging</w:t>
      </w:r>
      <w:r>
        <w:t>: Record every rule application, conflict surfaced, and decision made with full traceability to source documents.</w:t>
      </w:r>
    </w:p>
    <w:p w14:paraId="58ACA652" w14:textId="77777777" w:rsidR="00B33134" w:rsidRDefault="00000000">
      <w:pPr>
        <w:pStyle w:val="FirstParagraph"/>
      </w:pPr>
      <w:r>
        <w:t>This process ensures that the system does not predict, optimize, or automate. It binds authoritative signals and surfaces complexity for human resolution.</w:t>
      </w:r>
    </w:p>
    <w:p w14:paraId="7275887A" w14:textId="77777777" w:rsidR="00B33134" w:rsidRDefault="00000000">
      <w:pPr>
        <w:pStyle w:val="Heading3"/>
      </w:pPr>
      <w:bookmarkStart w:id="12" w:name="the-twelve-layer-architecture"/>
      <w:r>
        <w:t>The Twelve-Layer Architecture</w:t>
      </w:r>
      <w:bookmarkEnd w:id="12"/>
    </w:p>
    <w:p w14:paraId="2201B7B8" w14:textId="77777777" w:rsidR="00B33134" w:rsidRDefault="00000000">
      <w:pPr>
        <w:pStyle w:val="FirstParagraph"/>
      </w:pPr>
      <w:r>
        <w:t>The CMGF is structured as a twelve-layer architecture organized into four functional domains:</w:t>
      </w:r>
    </w:p>
    <w:p w14:paraId="36F1CA03" w14:textId="77777777" w:rsidR="00B33134" w:rsidRDefault="00000000">
      <w:pPr>
        <w:pStyle w:val="BodyText"/>
      </w:pPr>
      <w:r>
        <w:rPr>
          <w:b/>
        </w:rPr>
        <w:t>Domain 1: Authority and Policy (Layers 1-3)</w:t>
      </w:r>
    </w:p>
    <w:p w14:paraId="74DFA975" w14:textId="77777777" w:rsidR="00B33134" w:rsidRDefault="00000000">
      <w:pPr>
        <w:pStyle w:val="BodyText"/>
      </w:pPr>
      <w:r>
        <w:rPr>
          <w:b/>
        </w:rPr>
        <w:t>Layer 1: Statutory Authority Layer</w:t>
      </w:r>
      <w:r>
        <w:br/>
        <w:t>Encodes federal and state law into machine-readable constraints. Maintains version control and effective date tracking for regulatory changes.</w:t>
      </w:r>
    </w:p>
    <w:p w14:paraId="4374DB93" w14:textId="77777777" w:rsidR="00B33134" w:rsidRDefault="00000000">
      <w:pPr>
        <w:pStyle w:val="BodyText"/>
      </w:pPr>
      <w:r>
        <w:rPr>
          <w:b/>
        </w:rPr>
        <w:t>Layer 2: Credentialing Standards Layer</w:t>
      </w:r>
      <w:r>
        <w:br/>
        <w:t>Encodes accreditation and certification requirements. Tracks conditional logic for program-specific and state-specific variations.</w:t>
      </w:r>
    </w:p>
    <w:p w14:paraId="751869CB" w14:textId="77777777" w:rsidR="00B33134" w:rsidRDefault="00000000">
      <w:pPr>
        <w:pStyle w:val="BodyText"/>
      </w:pPr>
      <w:r>
        <w:rPr>
          <w:b/>
        </w:rPr>
        <w:lastRenderedPageBreak/>
        <w:t>Layer 3: Policy Interpretation Layer</w:t>
      </w:r>
      <w:r>
        <w:br/>
        <w:t>Translates legal and regulatory language into operational logic. Requires human approval for all interpretations before encoding.</w:t>
      </w:r>
    </w:p>
    <w:p w14:paraId="449F9751" w14:textId="77777777" w:rsidR="00B33134" w:rsidRDefault="00000000">
      <w:pPr>
        <w:pStyle w:val="BodyText"/>
      </w:pPr>
      <w:r>
        <w:rPr>
          <w:b/>
        </w:rPr>
        <w:t>Domain 2: Data and Integration (Layers 4-6)</w:t>
      </w:r>
    </w:p>
    <w:p w14:paraId="397CE0F5" w14:textId="77777777" w:rsidR="00B33134" w:rsidRDefault="00000000">
      <w:pPr>
        <w:pStyle w:val="BodyText"/>
      </w:pPr>
      <w:r>
        <w:rPr>
          <w:b/>
        </w:rPr>
        <w:t>Layer 4: Credential Registry Layer</w:t>
      </w:r>
      <w:r>
        <w:br/>
        <w:t>Maintains structured records of military training, civilian education, and professional certifications with authority tagging and provenance tracking.</w:t>
      </w:r>
    </w:p>
    <w:p w14:paraId="06CEEB61" w14:textId="77777777" w:rsidR="00B33134" w:rsidRDefault="00000000">
      <w:pPr>
        <w:pStyle w:val="BodyText"/>
      </w:pPr>
      <w:r>
        <w:rPr>
          <w:b/>
        </w:rPr>
        <w:t>Layer 5: Learner Record Layer</w:t>
      </w:r>
      <w:r>
        <w:br/>
        <w:t>Stores individual learner data in session-isolated, non-persistent format. No cross-session profiling or predictive modeling.</w:t>
      </w:r>
    </w:p>
    <w:p w14:paraId="4B288995" w14:textId="77777777" w:rsidR="00B33134" w:rsidRDefault="00000000">
      <w:pPr>
        <w:pStyle w:val="BodyText"/>
      </w:pPr>
      <w:r>
        <w:rPr>
          <w:b/>
        </w:rPr>
        <w:t>Layer 6: Labor Market Data Layer</w:t>
      </w:r>
      <w:r>
        <w:br/>
        <w:t>Integrates descriptive workforce information from BLS, O*NET, and state labor agencies. Clearly marked as contextual, not prescriptive.</w:t>
      </w:r>
    </w:p>
    <w:p w14:paraId="6D32EC72" w14:textId="77777777" w:rsidR="00B33134" w:rsidRDefault="00000000">
      <w:pPr>
        <w:pStyle w:val="BodyText"/>
      </w:pPr>
      <w:r>
        <w:rPr>
          <w:b/>
        </w:rPr>
        <w:t>Domain 3: Reasoning and Mediation (Layers 7-9)</w:t>
      </w:r>
    </w:p>
    <w:p w14:paraId="55A5D104" w14:textId="77777777" w:rsidR="00B33134" w:rsidRDefault="00000000">
      <w:pPr>
        <w:pStyle w:val="BodyText"/>
      </w:pPr>
      <w:r>
        <w:rPr>
          <w:b/>
        </w:rPr>
        <w:t>Layer 7: Constraint Binding Engine</w:t>
      </w:r>
      <w:r>
        <w:br/>
        <w:t>Applies encoded rules to learner scenarios using deterministic logic. No optimization, prediction, or scoring.</w:t>
      </w:r>
    </w:p>
    <w:p w14:paraId="55506D2E" w14:textId="77777777" w:rsidR="00B33134"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097958AD" w14:textId="77777777" w:rsidR="00B33134" w:rsidRDefault="00000000">
      <w:pPr>
        <w:pStyle w:val="BodyText"/>
      </w:pPr>
      <w:r>
        <w:rPr>
          <w:b/>
        </w:rPr>
        <w:t>Layer 9: Signal Aggregation Layer</w:t>
      </w:r>
      <w:r>
        <w:br/>
        <w:t>Combines outputs from multiple constraint checks into structured summaries. Does not rank, recommend, or optimize.</w:t>
      </w:r>
    </w:p>
    <w:p w14:paraId="0F4BABF5" w14:textId="77777777" w:rsidR="00B33134" w:rsidRDefault="00000000">
      <w:pPr>
        <w:pStyle w:val="BodyText"/>
      </w:pPr>
      <w:r>
        <w:rPr>
          <w:b/>
        </w:rPr>
        <w:t>Domain 4: Interaction and Oversight (Layers 10-12)</w:t>
      </w:r>
    </w:p>
    <w:p w14:paraId="651097F0" w14:textId="77777777" w:rsidR="00B33134" w:rsidRDefault="00000000">
      <w:pPr>
        <w:pStyle w:val="BodyText"/>
      </w:pPr>
      <w:r>
        <w:rPr>
          <w:b/>
        </w:rPr>
        <w:t>Layer 10: Advisor Interface Layer</w:t>
      </w:r>
      <w:r>
        <w:br/>
        <w:t>Presents constraint outputs, conflict summaries, and decision points to advisors and learners. Preserves human authority over all consequential decisions.</w:t>
      </w:r>
    </w:p>
    <w:p w14:paraId="48A1CC65" w14:textId="77777777" w:rsidR="00B33134" w:rsidRDefault="00000000">
      <w:pPr>
        <w:pStyle w:val="BodyText"/>
      </w:pPr>
      <w:r>
        <w:rPr>
          <w:b/>
        </w:rPr>
        <w:t>Layer 11: Audit and Logging Layer</w:t>
      </w:r>
      <w:r>
        <w:br/>
        <w:t>Records all system operations, rule applications, and human decisions in append-only logs. Enables compliance review and bias detection.</w:t>
      </w:r>
    </w:p>
    <w:p w14:paraId="022B225A" w14:textId="77777777" w:rsidR="00B33134" w:rsidRDefault="00000000">
      <w:pPr>
        <w:pStyle w:val="BodyText"/>
      </w:pPr>
      <w:r>
        <w:rPr>
          <w:b/>
        </w:rPr>
        <w:t>Layer 12: Governance Control Layer</w:t>
      </w:r>
      <w:r>
        <w:br/>
        <w:t>Enforces architectural guardrails that prohibit prediction, automation, scoring, and optimization. Provides override authority for governance administrators.</w:t>
      </w:r>
    </w:p>
    <w:p w14:paraId="4BD17A23" w14:textId="77777777" w:rsidR="00B33134" w:rsidRDefault="00000000">
      <w:pPr>
        <w:pStyle w:val="BodyText"/>
      </w:pPr>
      <w:r>
        <w:t xml:space="preserve">This architecture ensures that </w:t>
      </w:r>
      <w:r>
        <w:rPr>
          <w:b/>
        </w:rPr>
        <w:t>AI functions as mediation infrastructure</w:t>
      </w:r>
      <w:r>
        <w:t xml:space="preserve">, not decision engine. Authority flows from statutory and credentialing sources through encoded </w:t>
      </w:r>
      <w:r>
        <w:lastRenderedPageBreak/>
        <w:t>constraints to human decision-makers. The system does not replace advisor judgment; it organizes the information advisors need to exercise that judgment responsibly.</w:t>
      </w:r>
    </w:p>
    <w:p w14:paraId="3E476756" w14:textId="77777777" w:rsidR="00B33134" w:rsidRDefault="00000000">
      <w:pPr>
        <w:pStyle w:val="Heading3"/>
      </w:pPr>
      <w:bookmarkStart w:id="13" w:name="explicit-non-use-guardrails"/>
      <w:r>
        <w:t>Explicit Non-Use Guardrails</w:t>
      </w:r>
      <w:bookmarkEnd w:id="13"/>
    </w:p>
    <w:p w14:paraId="545417D2" w14:textId="77777777" w:rsidR="00B33134" w:rsidRDefault="00000000">
      <w:pPr>
        <w:pStyle w:val="FirstParagraph"/>
      </w:pPr>
      <w:r>
        <w:t>The framework includes architectural prohibitions against functions that would transfer authority or introduce bias:</w:t>
      </w:r>
    </w:p>
    <w:p w14:paraId="3922BB5D" w14:textId="77777777" w:rsidR="00B33134" w:rsidRDefault="00000000">
      <w:pPr>
        <w:pStyle w:val="BodyText"/>
      </w:pPr>
      <w:r>
        <w:rPr>
          <w:b/>
        </w:rPr>
        <w:t>No Predictive Modeling</w:t>
      </w:r>
      <w:r>
        <w:br/>
        <w:t>The system does not predict learner success, completion likelihood, or employment outcomes. Historical patterns are not used to generate recommendations.</w:t>
      </w:r>
    </w:p>
    <w:p w14:paraId="047AC418" w14:textId="77777777" w:rsidR="00B33134" w:rsidRDefault="00000000">
      <w:pPr>
        <w:pStyle w:val="BodyText"/>
      </w:pPr>
      <w:r>
        <w:rPr>
          <w:b/>
        </w:rPr>
        <w:t>No Outcome Optimization</w:t>
      </w:r>
      <w:r>
        <w:br/>
        <w:t>The system does not rank pathways by efficiency, cost, or time to completion. It presents constraint-compliant options without preference ordering.</w:t>
      </w:r>
    </w:p>
    <w:p w14:paraId="74C17002" w14:textId="77777777" w:rsidR="00B33134" w:rsidRDefault="00000000">
      <w:pPr>
        <w:pStyle w:val="BodyText"/>
      </w:pPr>
      <w:r>
        <w:rPr>
          <w:b/>
        </w:rPr>
        <w:t>No Automated Decision-Making</w:t>
      </w:r>
      <w:r>
        <w:br/>
        <w:t>The system does not approve benefit claims, grant credentials, or determine eligibility. All consequential decisions require human authorization.</w:t>
      </w:r>
    </w:p>
    <w:p w14:paraId="3BF2EBC5" w14:textId="77777777" w:rsidR="00B33134"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714BC5E5" w14:textId="77777777" w:rsidR="00B33134" w:rsidRDefault="00000000">
      <w:pPr>
        <w:pStyle w:val="BodyText"/>
      </w:pPr>
      <w:r>
        <w:rPr>
          <w:b/>
        </w:rPr>
        <w:t>No Authority Replacement</w:t>
      </w:r>
      <w:r>
        <w:br/>
        <w:t>The system does not interpret ambiguous policy, resolve jurisdictional conflicts, or create new rules. It surfaces complexity for human resolution.</w:t>
      </w:r>
    </w:p>
    <w:p w14:paraId="02F3E086" w14:textId="77777777" w:rsidR="00B33134" w:rsidRDefault="00000000">
      <w:pPr>
        <w:pStyle w:val="BodyText"/>
      </w:pPr>
      <w:r>
        <w:t xml:space="preserve">These guardrails are enforced at the architectural level through </w:t>
      </w:r>
      <w:r>
        <w:rPr>
          <w:b/>
        </w:rPr>
        <w:t>Layer 12: Governance Control</w:t>
      </w:r>
      <w:r>
        <w:t>. They cannot be disabled by users, vendors, or institutional administrators. They are design constraints, not policy preferences.</w:t>
      </w:r>
    </w:p>
    <w:p w14:paraId="52F647A7" w14:textId="77777777" w:rsidR="00B33134" w:rsidRDefault="00000000">
      <w:pPr>
        <w:pStyle w:val="Heading2"/>
      </w:pPr>
      <w:bookmarkStart w:id="14" w:name="Xb9680cb19a774561a592872cc96bbd5a759f95d"/>
      <w:r>
        <w:t>Demonstration Artifact: Credential Sequencing Engine</w:t>
      </w:r>
      <w:bookmarkEnd w:id="14"/>
    </w:p>
    <w:p w14:paraId="4D27A54A" w14:textId="77777777" w:rsidR="00B33134" w:rsidRDefault="00000000">
      <w:pPr>
        <w:pStyle w:val="Heading3"/>
      </w:pPr>
      <w:bookmarkStart w:id="15" w:name="purpose-and-scope"/>
      <w:r>
        <w:t>Purpose and Scope</w:t>
      </w:r>
      <w:bookmarkEnd w:id="15"/>
    </w:p>
    <w:p w14:paraId="04FCD6A3" w14:textId="77777777" w:rsidR="00B33134" w:rsidRDefault="00000000">
      <w:pPr>
        <w:pStyle w:val="FirstParagraph"/>
      </w:pPr>
      <w:r>
        <w:t xml:space="preserve">To demonstrate that governance-first principles can be operationalized, a </w:t>
      </w:r>
      <w:r>
        <w:rPr>
          <w:b/>
        </w:rPr>
        <w:t>Credential Sequencing Engine</w:t>
      </w:r>
      <w:r>
        <w:t xml:space="preserve"> was developed as a proof-of-concept artifact. This is not a deployed system. It is a demonstration that the architectural principles described in this white paper can survive translation into executable logic.</w:t>
      </w:r>
    </w:p>
    <w:p w14:paraId="72C2DB04" w14:textId="77777777" w:rsidR="00B33134" w:rsidRDefault="00000000">
      <w:pPr>
        <w:pStyle w:val="BodyText"/>
      </w:pPr>
      <w:r>
        <w:t xml:space="preserve">The engine addresses a specific use case: </w:t>
      </w:r>
      <w:r>
        <w:rPr>
          <w:b/>
        </w:rPr>
        <w:t>sequencing nursing credentials for military learners transitioning to civilian healthcare careers</w:t>
      </w:r>
      <w:r>
        <w:t>. Nursing was selected because it involves multiple independent authorities (state boards, accreditors, institutions, federal agencies) with complex, often conflicting requirements.</w:t>
      </w:r>
    </w:p>
    <w:p w14:paraId="3859244F" w14:textId="77777777" w:rsidR="00B33134" w:rsidRDefault="00000000">
      <w:pPr>
        <w:pStyle w:val="Heading3"/>
      </w:pPr>
      <w:bookmarkStart w:id="16" w:name="encoded-constraints"/>
      <w:r>
        <w:lastRenderedPageBreak/>
        <w:t>Encoded Constraints</w:t>
      </w:r>
      <w:bookmarkEnd w:id="16"/>
    </w:p>
    <w:p w14:paraId="4ED2CE47" w14:textId="77777777" w:rsidR="00B33134" w:rsidRDefault="00000000">
      <w:pPr>
        <w:pStyle w:val="FirstParagraph"/>
      </w:pPr>
      <w:r>
        <w:t>The engine encodes constraints from four authority domains:</w:t>
      </w:r>
    </w:p>
    <w:p w14:paraId="084062FF" w14:textId="77777777" w:rsidR="00B33134" w:rsidRDefault="00000000">
      <w:pPr>
        <w:pStyle w:val="BodyText"/>
      </w:pPr>
      <w:r>
        <w:rPr>
          <w:b/>
        </w:rPr>
        <w:t>Federal Statutory Constraints (Tier A)</w:t>
      </w:r>
      <w:r>
        <w:br/>
        <w:t>- GI Bill eligibility requirements (38 U.S.C. § 3313) - VA approval criteria for nursing programs - Federal financial aid regulations (Title IV)</w:t>
      </w:r>
    </w:p>
    <w:p w14:paraId="29228503" w14:textId="77777777" w:rsidR="00B33134" w:rsidRDefault="00000000">
      <w:pPr>
        <w:pStyle w:val="BodyText"/>
      </w:pPr>
      <w:r>
        <w:rPr>
          <w:b/>
        </w:rPr>
        <w:t>State Regulatory Constraints (Tier A)</w:t>
      </w:r>
      <w:r>
        <w:br/>
        <w:t>- Indiana State Board of Nursing licensure requirements - Continuing education mandates - Scope of practice limitations</w:t>
      </w:r>
    </w:p>
    <w:p w14:paraId="2C559CA8" w14:textId="77777777" w:rsidR="00B33134" w:rsidRDefault="00000000">
      <w:pPr>
        <w:pStyle w:val="BodyText"/>
      </w:pPr>
      <w:r>
        <w:rPr>
          <w:b/>
        </w:rPr>
        <w:t>Accreditation Standards (Tier B)</w:t>
      </w:r>
      <w:r>
        <w:br/>
        <w:t>- Accreditation Commission for Education in Nursing (ACEN) curriculum requirements - Commission on Collegiate Nursing Education (CCNE) program standards - National Council Licensure Examination (NCLEX) eligibility criteria</w:t>
      </w:r>
    </w:p>
    <w:p w14:paraId="6B67A754" w14:textId="77777777" w:rsidR="00B33134" w:rsidRDefault="00000000">
      <w:pPr>
        <w:pStyle w:val="BodyText"/>
      </w:pPr>
      <w:r>
        <w:rPr>
          <w:b/>
        </w:rPr>
        <w:t>Institutional Policies (Tier C)</w:t>
      </w:r>
      <w:r>
        <w:br/>
        <w:t>- Transfer credit policies from Indiana Wesleyan University - Prior learning assessment protocols - Prerequisite sequencing requirements</w:t>
      </w:r>
    </w:p>
    <w:p w14:paraId="028B3A9B" w14:textId="77777777" w:rsidR="00B33134" w:rsidRDefault="00000000">
      <w:pPr>
        <w:pStyle w:val="BodyText"/>
      </w:pPr>
      <w:r>
        <w:t>Each constraint is tagged with its authoritative source, effective date, and scope of applicability. The engine does not interpret policy; it encodes interpretations that have been validated by subject matter experts and approved by governance administrators.</w:t>
      </w:r>
    </w:p>
    <w:p w14:paraId="3253EDCD" w14:textId="77777777" w:rsidR="00B33134" w:rsidRDefault="00000000">
      <w:pPr>
        <w:pStyle w:val="Heading3"/>
      </w:pPr>
      <w:bookmarkStart w:id="17" w:name="constraint-binding-process"/>
      <w:r>
        <w:t>Constraint Binding Process</w:t>
      </w:r>
      <w:bookmarkEnd w:id="17"/>
    </w:p>
    <w:p w14:paraId="58D6B2BB" w14:textId="77777777" w:rsidR="00B33134" w:rsidRDefault="00000000">
      <w:pPr>
        <w:pStyle w:val="FirstParagraph"/>
      </w:pPr>
      <w:r>
        <w:t>When a learner scenario is submitted (military healthcare experience, desired nursing credential, available benefits), the engine:</w:t>
      </w:r>
    </w:p>
    <w:p w14:paraId="3F9397EF" w14:textId="77777777" w:rsidR="00B33134" w:rsidRDefault="00000000">
      <w:pPr>
        <w:pStyle w:val="Compact"/>
        <w:numPr>
          <w:ilvl w:val="0"/>
          <w:numId w:val="6"/>
        </w:numPr>
      </w:pPr>
      <w:r>
        <w:rPr>
          <w:b/>
        </w:rPr>
        <w:t>Validates input data</w:t>
      </w:r>
      <w:r>
        <w:t xml:space="preserve"> against schema requirements and authority tagging standards.</w:t>
      </w:r>
    </w:p>
    <w:p w14:paraId="1C388A29" w14:textId="77777777" w:rsidR="00B33134" w:rsidRDefault="00000000">
      <w:pPr>
        <w:pStyle w:val="Compact"/>
        <w:numPr>
          <w:ilvl w:val="0"/>
          <w:numId w:val="6"/>
        </w:numPr>
      </w:pPr>
      <w:r>
        <w:rPr>
          <w:b/>
        </w:rPr>
        <w:t>Applies Tier A constraints</w:t>
      </w:r>
      <w:r>
        <w:t xml:space="preserve"> (statutory and regulatory) as hard filters. Any violation halts processing and surfaces the conflict.</w:t>
      </w:r>
    </w:p>
    <w:p w14:paraId="401914AC" w14:textId="77777777" w:rsidR="00B33134" w:rsidRDefault="00000000">
      <w:pPr>
        <w:pStyle w:val="Compact"/>
        <w:numPr>
          <w:ilvl w:val="0"/>
          <w:numId w:val="6"/>
        </w:numPr>
      </w:pPr>
      <w:r>
        <w:rPr>
          <w:b/>
        </w:rPr>
        <w:t>Applies Tier B constraints</w:t>
      </w:r>
      <w:r>
        <w:t xml:space="preserve"> (accreditation and credentialing) as conditional filters. Violations are flagged for advisor review.</w:t>
      </w:r>
    </w:p>
    <w:p w14:paraId="1D3AD2CB" w14:textId="77777777" w:rsidR="00B33134" w:rsidRDefault="00000000">
      <w:pPr>
        <w:pStyle w:val="Compact"/>
        <w:numPr>
          <w:ilvl w:val="0"/>
          <w:numId w:val="6"/>
        </w:numPr>
      </w:pPr>
      <w:r>
        <w:rPr>
          <w:b/>
        </w:rPr>
        <w:t>Applies Tier C constraints</w:t>
      </w:r>
      <w:r>
        <w:t xml:space="preserve"> (institutional policies) as preference filters. Violations generate alternative pathway suggestions.</w:t>
      </w:r>
    </w:p>
    <w:p w14:paraId="74B57415" w14:textId="77777777" w:rsidR="00B33134" w:rsidRDefault="00000000">
      <w:pPr>
        <w:pStyle w:val="Compact"/>
        <w:numPr>
          <w:ilvl w:val="0"/>
          <w:numId w:val="6"/>
        </w:numPr>
      </w:pPr>
      <w:r>
        <w:rPr>
          <w:b/>
        </w:rPr>
        <w:t>Integrates Tier D data</w:t>
      </w:r>
      <w:r>
        <w:t xml:space="preserve"> (labor market information) as contextual notes, not binding constraints.</w:t>
      </w:r>
    </w:p>
    <w:p w14:paraId="70334EA0" w14:textId="77777777" w:rsidR="00B33134" w:rsidRDefault="00000000">
      <w:pPr>
        <w:pStyle w:val="Compact"/>
        <w:numPr>
          <w:ilvl w:val="0"/>
          <w:numId w:val="6"/>
        </w:numPr>
      </w:pPr>
      <w:r>
        <w:rPr>
          <w:b/>
        </w:rPr>
        <w:t>Surfaces conflicts</w:t>
      </w:r>
      <w:r>
        <w:t xml:space="preserve"> where constraints from different authorities contradict or create impossible sequences.</w:t>
      </w:r>
    </w:p>
    <w:p w14:paraId="7B5C39D8" w14:textId="77777777" w:rsidR="00B33134" w:rsidRDefault="00000000">
      <w:pPr>
        <w:pStyle w:val="Compact"/>
        <w:numPr>
          <w:ilvl w:val="0"/>
          <w:numId w:val="6"/>
        </w:numPr>
      </w:pPr>
      <w:r>
        <w:rPr>
          <w:b/>
        </w:rPr>
        <w:t>Generates structured output</w:t>
      </w:r>
      <w:r>
        <w:t xml:space="preserve"> showing compliant pathways, flagged conflicts, and decision points requiring human resolution.</w:t>
      </w:r>
    </w:p>
    <w:p w14:paraId="1C241F10" w14:textId="77777777" w:rsidR="00B33134" w:rsidRDefault="00000000">
      <w:pPr>
        <w:pStyle w:val="FirstParagraph"/>
      </w:pPr>
      <w:r>
        <w:t>At no point does the engine predict success, recommend a “best” pathway, or automate approval decisions. It organizes authoritative constraints and surfaces complexity.</w:t>
      </w:r>
    </w:p>
    <w:p w14:paraId="30C86B93" w14:textId="77777777" w:rsidR="00B33134" w:rsidRDefault="00000000">
      <w:pPr>
        <w:pStyle w:val="Heading3"/>
      </w:pPr>
      <w:bookmarkStart w:id="18" w:name="sample-output-structure"/>
      <w:r>
        <w:lastRenderedPageBreak/>
        <w:t>Sample Output Structure</w:t>
      </w:r>
      <w:bookmarkEnd w:id="18"/>
    </w:p>
    <w:p w14:paraId="13D3BA2D" w14:textId="77777777" w:rsidR="00B33134" w:rsidRDefault="00000000">
      <w:pPr>
        <w:pStyle w:val="FirstParagraph"/>
      </w:pPr>
      <w:r>
        <w:t>For a hypothetical Army medic (68W MOS) seeking an Associate Degree in Nursing (ADN) in Indiana using Post-9/11 GI Bill benefits, the engine produces:</w:t>
      </w:r>
    </w:p>
    <w:p w14:paraId="3C9A06AC" w14:textId="77777777" w:rsidR="00B33134" w:rsidRDefault="00000000">
      <w:pPr>
        <w:pStyle w:val="BodyText"/>
      </w:pPr>
      <w:r>
        <w:rPr>
          <w:b/>
        </w:rPr>
        <w:t>Compliant Pathways (2 identified)</w:t>
      </w:r>
      <w:r>
        <w:br/>
        <w:t>- Pathway A: ACE-recommended military credit + institutional prior learning assessment + ADN program - Pathway B: Licensed Practical Nurse (LPN) bridge program + ADN program</w:t>
      </w:r>
    </w:p>
    <w:p w14:paraId="7BFEC268" w14:textId="77777777" w:rsidR="00B33134" w:rsidRDefault="00000000">
      <w:pPr>
        <w:pStyle w:val="BodyText"/>
      </w:pPr>
      <w:r>
        <w:rPr>
          <w:b/>
        </w:rPr>
        <w:t>Flagged Conflicts (1 identified)</w:t>
      </w:r>
      <w:r>
        <w:br/>
        <w:t>- Indiana State Board of Nursing requires supervised clinical hours that may not be fully satisfied by military training alone. Advisor review required.</w:t>
      </w:r>
    </w:p>
    <w:p w14:paraId="77750C62" w14:textId="77777777" w:rsidR="00B33134" w:rsidRDefault="00000000">
      <w:pPr>
        <w:pStyle w:val="BodyText"/>
      </w:pPr>
      <w:r>
        <w:rPr>
          <w:b/>
        </w:rPr>
        <w:t>Decision Points (3 identified)</w:t>
      </w:r>
      <w:r>
        <w:br/>
        <w:t>- Choice between Pathway A and Pathway B based on learner timeline and career goals - Selection of VA-approved ADN program from institutional list - Timing of NCLEX examination relative to benefit exhaustion</w:t>
      </w:r>
    </w:p>
    <w:p w14:paraId="60690E80" w14:textId="77777777" w:rsidR="00B33134" w:rsidRDefault="00000000">
      <w:pPr>
        <w:pStyle w:val="BodyText"/>
      </w:pPr>
      <w:r>
        <w:rPr>
          <w:b/>
        </w:rPr>
        <w:t>Contextual Information</w:t>
      </w:r>
      <w:r>
        <w:br/>
        <w:t>- BLS projects 6% growth in registered nurse employment through 2032 - Median Indiana RN salary: $66,490 (2023 data) - Post-9/11 GI Bill covers 100% tuition at public institutions or up to $27,120.05/year at private institutions (2024-2025 rates)</w:t>
      </w:r>
    </w:p>
    <w:p w14:paraId="395E2AED" w14:textId="77777777" w:rsidR="00B33134" w:rsidRDefault="00000000">
      <w:pPr>
        <w:pStyle w:val="BodyText"/>
      </w:pPr>
      <w:r>
        <w:t>The output does not rank pathways, predict completion likelihood, or recommend a course of action. It organizes authoritative information and preserves advisor and learner authority over decisions.</w:t>
      </w:r>
    </w:p>
    <w:p w14:paraId="6CA1AB8C" w14:textId="77777777" w:rsidR="00B33134" w:rsidRDefault="00000000">
      <w:pPr>
        <w:pStyle w:val="Heading3"/>
      </w:pPr>
      <w:bookmarkStart w:id="19" w:name="what-the-demonstration-proves"/>
      <w:r>
        <w:t>What the Demonstration Proves</w:t>
      </w:r>
      <w:bookmarkEnd w:id="19"/>
    </w:p>
    <w:p w14:paraId="113F17D1" w14:textId="77777777" w:rsidR="00B33134" w:rsidRDefault="00000000">
      <w:pPr>
        <w:pStyle w:val="FirstParagraph"/>
      </w:pPr>
      <w:r>
        <w:t>The Credential Sequencing Engine demonstrates that:</w:t>
      </w:r>
    </w:p>
    <w:p w14:paraId="3C816D71" w14:textId="77777777" w:rsidR="00B33134" w:rsidRDefault="00000000">
      <w:pPr>
        <w:pStyle w:val="Compact"/>
        <w:numPr>
          <w:ilvl w:val="0"/>
          <w:numId w:val="7"/>
        </w:numPr>
      </w:pPr>
      <w:r>
        <w:rPr>
          <w:b/>
        </w:rPr>
        <w:t>Governance constraints can be encoded</w:t>
      </w:r>
      <w:r>
        <w:t xml:space="preserve"> without predictive modeling or optimization algorithms</w:t>
      </w:r>
    </w:p>
    <w:p w14:paraId="4C504A96" w14:textId="77777777" w:rsidR="00B33134" w:rsidRDefault="00000000">
      <w:pPr>
        <w:pStyle w:val="Compact"/>
        <w:numPr>
          <w:ilvl w:val="0"/>
          <w:numId w:val="7"/>
        </w:numPr>
      </w:pPr>
      <w:r>
        <w:rPr>
          <w:b/>
        </w:rPr>
        <w:t>Deterministic logic can handle complexity</w:t>
      </w:r>
      <w:r>
        <w:t xml:space="preserve"> across multiple authority domains</w:t>
      </w:r>
    </w:p>
    <w:p w14:paraId="3F4A41B8" w14:textId="77777777" w:rsidR="00B33134" w:rsidRDefault="00000000">
      <w:pPr>
        <w:pStyle w:val="Compact"/>
        <w:numPr>
          <w:ilvl w:val="0"/>
          <w:numId w:val="7"/>
        </w:numPr>
      </w:pPr>
      <w:r>
        <w:rPr>
          <w:b/>
        </w:rPr>
        <w:t>Conflicts can be surfaced</w:t>
      </w:r>
      <w:r>
        <w:t xml:space="preserve"> rather than algorithmically resolved</w:t>
      </w:r>
    </w:p>
    <w:p w14:paraId="1EC818E5" w14:textId="77777777" w:rsidR="00B33134" w:rsidRDefault="00000000">
      <w:pPr>
        <w:pStyle w:val="Compact"/>
        <w:numPr>
          <w:ilvl w:val="0"/>
          <w:numId w:val="7"/>
        </w:numPr>
      </w:pPr>
      <w:r>
        <w:rPr>
          <w:b/>
        </w:rPr>
        <w:t>Human authority can be preserved</w:t>
      </w:r>
      <w:r>
        <w:t xml:space="preserve"> while reducing information overload</w:t>
      </w:r>
    </w:p>
    <w:p w14:paraId="7D6FD5FD" w14:textId="77777777" w:rsidR="00B33134" w:rsidRDefault="00000000">
      <w:pPr>
        <w:pStyle w:val="Compact"/>
        <w:numPr>
          <w:ilvl w:val="0"/>
          <w:numId w:val="7"/>
        </w:numPr>
      </w:pPr>
      <w:r>
        <w:rPr>
          <w:b/>
        </w:rPr>
        <w:t>Audit trails can be maintained</w:t>
      </w:r>
      <w:r>
        <w:t xml:space="preserve"> with full traceability to source documents</w:t>
      </w:r>
    </w:p>
    <w:p w14:paraId="46715215" w14:textId="77777777" w:rsidR="00B33134" w:rsidRDefault="00000000">
      <w:pPr>
        <w:pStyle w:val="FirstParagraph"/>
      </w:pPr>
      <w:r>
        <w:t>It does not prove that the framework is ready for deployment. It proves that the governance-first approach is technically feasible. The principles articulated in this white paper can survive operationalization.</w:t>
      </w:r>
    </w:p>
    <w:p w14:paraId="30B27E06" w14:textId="6801782A" w:rsidR="00B33134" w:rsidRDefault="00000000" w:rsidP="00486E8B">
      <w:pPr>
        <w:pStyle w:val="Heading2"/>
      </w:pPr>
      <w:bookmarkStart w:id="20" w:name="strategic-implications"/>
      <w:r>
        <w:t>Strategic Implications</w:t>
      </w:r>
      <w:bookmarkStart w:id="21" w:name="X2e2ac2ad3833f3bf93f1b8b3321574900046fef"/>
      <w:bookmarkEnd w:id="20"/>
      <w:r>
        <w:t xml:space="preserve"> Alignment with Federal AI Governance Standards</w:t>
      </w:r>
      <w:bookmarkEnd w:id="21"/>
    </w:p>
    <w:p w14:paraId="4A9989C4" w14:textId="77777777" w:rsidR="00B33134" w:rsidRDefault="00000000">
      <w:pPr>
        <w:pStyle w:val="FirstParagraph"/>
      </w:pPr>
      <w:r>
        <w:t>The governance-constrained architecture aligns with federal guidance on responsible AI in high-impact public systems:</w:t>
      </w:r>
    </w:p>
    <w:p w14:paraId="7F46F905" w14:textId="77777777" w:rsidR="00B33134" w:rsidRDefault="00000000">
      <w:pPr>
        <w:pStyle w:val="BodyText"/>
      </w:pPr>
      <w:r>
        <w:rPr>
          <w:b/>
        </w:rPr>
        <w:lastRenderedPageBreak/>
        <w:t>Executive Order 14179 (January 2025)</w:t>
      </w:r>
      <w:r>
        <w:rPr>
          <w:b/>
        </w:rPr>
        <w:br/>
        <w:t>Requires that AI systems affecting civil rights, civil liberties, or public safety be subject to rigorous testing, transparency requirements, and human oversight. The CMGF’s prohibition on automated decision-making and requirement for audit logging directly implements these mandates.</w:t>
      </w:r>
    </w:p>
    <w:p w14:paraId="60CC2655" w14:textId="77777777" w:rsidR="00B33134" w:rsidRDefault="00000000">
      <w:pPr>
        <w:pStyle w:val="BodyText"/>
      </w:pPr>
      <w:r>
        <w:rPr>
          <w:b/>
        </w:rPr>
        <w:t>OMB Memorandum M-25-21 (April 2025)</w:t>
      </w:r>
      <w:r>
        <w:rPr>
          <w:b/>
        </w:rPr>
        <w:br/>
        <w:t>Establishes minimum practices for AI use in federal agencies, including impact assessments, performance monitoring, and human review of consequential decisions. The CMGF’s governance control layer and human authority preservation satisfy these requirements.</w:t>
      </w:r>
    </w:p>
    <w:p w14:paraId="12E76BEA" w14:textId="77777777" w:rsidR="00B33134" w:rsidRDefault="00000000">
      <w:pPr>
        <w:pStyle w:val="BodyText"/>
      </w:pPr>
      <w:r>
        <w:rPr>
          <w:b/>
        </w:rPr>
        <w:t>NIST AI Risk Management Framework (January 2023)</w:t>
      </w:r>
      <w:r>
        <w:br/>
        <w:t>Emphasizes trustworthiness, transparency, accountability, and fairness as core AI design principles. The CMGF’s authority decomposition, conflict surfacing, and audit trail mechanisms operationalize these principles.</w:t>
      </w:r>
    </w:p>
    <w:p w14:paraId="5323AC19" w14:textId="77777777" w:rsidR="00B33134" w:rsidRDefault="00000000">
      <w:pPr>
        <w:pStyle w:val="BodyText"/>
      </w:pPr>
      <w:r>
        <w:t>Institutions adopting AI advising tools without these safeguards may face compliance challenges, particularly if those systems affect federal benefit eligibility, credentialing decisions, or civil rights protections.</w:t>
      </w:r>
    </w:p>
    <w:p w14:paraId="1A8E2ED9" w14:textId="77777777" w:rsidR="00B33134" w:rsidRDefault="00000000">
      <w:pPr>
        <w:pStyle w:val="Heading3"/>
      </w:pPr>
      <w:bookmarkStart w:id="22" w:name="institutional-risk-reduction"/>
      <w:r>
        <w:t>Institutional Risk Reduction</w:t>
      </w:r>
      <w:bookmarkEnd w:id="22"/>
    </w:p>
    <w:p w14:paraId="5BA806A8" w14:textId="77777777" w:rsidR="00B33134" w:rsidRDefault="00000000">
      <w:pPr>
        <w:pStyle w:val="FirstParagraph"/>
      </w:pPr>
      <w:r>
        <w:t>The governance-first approach reduces institutional exposure to several categories of risk:</w:t>
      </w:r>
    </w:p>
    <w:p w14:paraId="58145457" w14:textId="77777777" w:rsidR="00B33134" w:rsidRDefault="00000000">
      <w:pPr>
        <w:pStyle w:val="BodyText"/>
      </w:pPr>
      <w:r>
        <w:rPr>
          <w:b/>
        </w:rPr>
        <w:t>Legal and Regulatory Risk</w:t>
      </w:r>
      <w:r>
        <w:br/>
        <w:t>By preserving human authority over consequential decisions and maintaining audit trails, institutions protect against claims of discriminatory or arbitrary treatment. The system cannot produce outcomes that violate statutory or regulatory requirements because those requirements are encoded as hard constraints.</w:t>
      </w:r>
    </w:p>
    <w:p w14:paraId="1EF46A5E" w14:textId="77777777" w:rsidR="00B33134" w:rsidRDefault="00000000">
      <w:pPr>
        <w:pStyle w:val="BodyText"/>
      </w:pPr>
      <w:r>
        <w:rPr>
          <w:b/>
        </w:rPr>
        <w:t>Reputational Risk</w:t>
      </w:r>
      <w:r>
        <w:br/>
        <w:t>Predictive AI systems that produce biased or unexplainable recommendations damage institutional trust. The CMGF’s deterministic, transparent approach ensures that every output can be traced to authoritative sources and explained in plain language.</w:t>
      </w:r>
    </w:p>
    <w:p w14:paraId="21A16D0B" w14:textId="77777777" w:rsidR="00B33134" w:rsidRDefault="00000000">
      <w:pPr>
        <w:pStyle w:val="BodyText"/>
      </w:pPr>
      <w:r>
        <w:rPr>
          <w:b/>
        </w:rPr>
        <w:t>Operational Risk</w:t>
      </w:r>
      <w:r>
        <w:br/>
        <w:t>Commercial AI platforms may change algorithms, pricing, or data practices without institutional control. Furthermore, the architecture supports multi-channel institutional signal aggregation: education services, credentialing (COOL/CA), transition assistance (TAP), and other SM-facing channels can feed a unified Installation Status Report through the same governed de-identification pipeline. The CMGF’s open architecture and institutional ownership of rule bases reduce vendor lock-in and preserve long-term system stability.</w:t>
      </w:r>
    </w:p>
    <w:p w14:paraId="48E1111E" w14:textId="77777777" w:rsidR="00B33134" w:rsidRDefault="00000000">
      <w:pPr>
        <w:pStyle w:val="BodyText"/>
      </w:pPr>
      <w:r>
        <w:rPr>
          <w:b/>
        </w:rPr>
        <w:lastRenderedPageBreak/>
        <w:t>Ethical Risk</w:t>
      </w:r>
      <w:r>
        <w:br/>
        <w:t xml:space="preserve">Automated systems that score, rank, or profile individuals may violate institutional values even if they are technically legal. The CMGF’s explicit non-use guardrails ensure that AI functions within boundaries consistent with the </w:t>
      </w:r>
      <w:r>
        <w:rPr>
          <w:b/>
        </w:rPr>
        <w:t>Voice of the Veteran</w:t>
      </w:r>
      <w:r>
        <w:t xml:space="preserve"> and institutional mission.</w:t>
      </w:r>
    </w:p>
    <w:p w14:paraId="7D5A88BB" w14:textId="77777777" w:rsidR="00B33134" w:rsidRDefault="00000000">
      <w:pPr>
        <w:pStyle w:val="Heading3"/>
      </w:pPr>
      <w:bookmarkStart w:id="23" w:name="incremental-policy-harmonization"/>
      <w:r>
        <w:t>Incremental Policy Harmonization</w:t>
      </w:r>
      <w:bookmarkEnd w:id="23"/>
    </w:p>
    <w:p w14:paraId="153C7029" w14:textId="77777777" w:rsidR="00B33134" w:rsidRDefault="00000000">
      <w:pPr>
        <w:pStyle w:val="FirstParagraph"/>
      </w:pPr>
      <w:r>
        <w:t>The governance-constrained architecture creates conditions for cross-sector policy coordination without requiring centralized authority:</w:t>
      </w:r>
    </w:p>
    <w:p w14:paraId="4AA7A30B" w14:textId="77777777" w:rsidR="00B33134" w:rsidRDefault="00000000">
      <w:pPr>
        <w:pStyle w:val="BodyText"/>
      </w:pPr>
      <w:r>
        <w:rPr>
          <w:b/>
        </w:rPr>
        <w:t>Conflict Visibility</w:t>
      </w:r>
      <w:r>
        <w:br/>
        <w:t>By surfacing contradictions between federal, state, and institutional policies, the system generates evidence that can inform policy reform efforts. Policymakers can see where rules create impossible sequences or inequitable barriers.</w:t>
      </w:r>
    </w:p>
    <w:p w14:paraId="1C26C825" w14:textId="77777777" w:rsidR="00B33134" w:rsidRDefault="00000000">
      <w:pPr>
        <w:pStyle w:val="BodyText"/>
      </w:pPr>
      <w:r>
        <w:rPr>
          <w:b/>
        </w:rPr>
        <w:t>Standardization Incentives</w:t>
      </w:r>
      <w:r>
        <w:br/>
        <w:t>Institutions that encode their policies into the framework gain visibility into how their requirements compare to peer institutions. This creates market pressure for standardization without regulatory mandates.</w:t>
      </w:r>
    </w:p>
    <w:p w14:paraId="16D9038B" w14:textId="77777777" w:rsidR="00B33134" w:rsidRDefault="00000000">
      <w:pPr>
        <w:pStyle w:val="BodyText"/>
      </w:pPr>
      <w:r>
        <w:rPr>
          <w:b/>
        </w:rPr>
        <w:t>Interoperability Pathways</w:t>
      </w:r>
      <w:r>
        <w:br/>
        <w:t>The authority tagging and source validation protocols establish technical standards that enable data sharing across institutions. Credential registries, transfer credit agreements, and articulation pathways can be encoded once and reused across systems.</w:t>
      </w:r>
    </w:p>
    <w:p w14:paraId="1E69A5A5" w14:textId="77777777" w:rsidR="00B33134" w:rsidRDefault="00000000">
      <w:pPr>
        <w:pStyle w:val="BodyText"/>
      </w:pPr>
      <w:r>
        <w:rPr>
          <w:b/>
        </w:rPr>
        <w:t>Governance Learning</w:t>
      </w:r>
      <w:r>
        <w:br/>
        <w:t>The audit logs and conflict reports generated by the system provide data for continuous improvement. Institutions can identify where policies are unclear, outdated, or misaligned with learner needs.</w:t>
      </w:r>
    </w:p>
    <w:p w14:paraId="56045C9E" w14:textId="77777777" w:rsidR="00B33134" w:rsidRDefault="00000000">
      <w:pPr>
        <w:pStyle w:val="BodyText"/>
      </w:pPr>
      <w:r>
        <w:t>This is not a top-down reform strategy. It is an infrastructure approach that makes coordination easier while preserving institutional autonomy.</w:t>
      </w:r>
    </w:p>
    <w:p w14:paraId="006203A7" w14:textId="77777777" w:rsidR="00B33134" w:rsidRDefault="00000000">
      <w:pPr>
        <w:pStyle w:val="Heading3"/>
      </w:pPr>
      <w:bookmarkStart w:id="24" w:name="centering-the-voice-of-the-veteran"/>
      <w:r>
        <w:t>Centering the Voice of the Veteran</w:t>
      </w:r>
      <w:bookmarkEnd w:id="24"/>
    </w:p>
    <w:p w14:paraId="4B32C082" w14:textId="77777777" w:rsidR="00B33134" w:rsidRDefault="00000000">
      <w:pPr>
        <w:pStyle w:val="FirstParagraph"/>
      </w:pPr>
      <w:r>
        <w:t xml:space="preserve">The </w:t>
      </w:r>
      <w:r>
        <w:rPr>
          <w:b/>
        </w:rPr>
        <w:t>Voice of the Veteran</w:t>
      </w:r>
      <w:r>
        <w:t xml:space="preserve"> pillar is not merely a user feedback mechanism. It is a governance principle embedded in the architecture:</w:t>
      </w:r>
    </w:p>
    <w:p w14:paraId="751026D2" w14:textId="77777777" w:rsidR="00B33134" w:rsidRDefault="00000000">
      <w:pPr>
        <w:pStyle w:val="BodyText"/>
      </w:pPr>
      <w:r>
        <w:rPr>
          <w:b/>
        </w:rPr>
        <w:t>Transparency by Design</w:t>
      </w:r>
      <w:r>
        <w:br/>
        <w:t>Every system output includes citations to authoritative sources. Learners can see why a pathway is compliant or why a conflict exists. Opacity is eliminated not through explanation interfaces but through architectural constraint.</w:t>
      </w:r>
    </w:p>
    <w:p w14:paraId="07AE4E96" w14:textId="77777777" w:rsidR="00B33134" w:rsidRDefault="00000000">
      <w:pPr>
        <w:pStyle w:val="BodyText"/>
      </w:pPr>
      <w:r>
        <w:rPr>
          <w:b/>
        </w:rPr>
        <w:t>Agency Preservation</w:t>
      </w:r>
      <w:r>
        <w:br/>
        <w:t xml:space="preserve">The system presents options and constraints but does not recommend or rank. Learners </w:t>
      </w:r>
      <w:r>
        <w:lastRenderedPageBreak/>
        <w:t>retain full authority over decisions that affect their education, careers, and use of earned benefits.</w:t>
      </w:r>
    </w:p>
    <w:p w14:paraId="4509938E" w14:textId="77777777" w:rsidR="00B33134" w:rsidRDefault="00000000">
      <w:pPr>
        <w:pStyle w:val="BodyText"/>
      </w:pPr>
      <w:r>
        <w:rPr>
          <w:b/>
        </w:rPr>
        <w:t>Friction Documentation</w:t>
      </w:r>
      <w:r>
        <w:br/>
        <w:t>The conflict surfacing mechanism captures where policies create barriers, delays, or impossible choices. This lived experience data can inform policy advocacy and institutional reform efforts.</w:t>
      </w:r>
    </w:p>
    <w:p w14:paraId="1B6E77DE" w14:textId="77777777" w:rsidR="00B33134" w:rsidRDefault="00000000">
      <w:pPr>
        <w:pStyle w:val="BodyText"/>
      </w:pPr>
      <w:r>
        <w:rPr>
          <w:b/>
        </w:rPr>
        <w:t>Non-Profiling Commitment</w:t>
      </w:r>
      <w:r>
        <w:br/>
        <w:t>Session isolation and non-persistent learner records ensure that individuals are not labeled, scored, or tracked across interactions. Each advising session starts from authoritative constraints, not historical patterns.</w:t>
      </w:r>
    </w:p>
    <w:p w14:paraId="77F94BD9" w14:textId="77777777" w:rsidR="00B33134" w:rsidRDefault="00000000">
      <w:pPr>
        <w:pStyle w:val="BodyText"/>
      </w:pPr>
      <w:r>
        <w:t xml:space="preserve">The framework treats the </w:t>
      </w:r>
      <w:r>
        <w:rPr>
          <w:b/>
        </w:rPr>
        <w:t>Voice of the Veteran</w:t>
      </w:r>
      <w:r>
        <w:t xml:space="preserve"> as both ethical anchor and design requirement. Systems that do not center lived experience and preserve human agency are architecturally prohibited.</w:t>
      </w:r>
    </w:p>
    <w:p w14:paraId="6EE0D0EA" w14:textId="77777777" w:rsidR="00B33134" w:rsidRDefault="00000000">
      <w:pPr>
        <w:pStyle w:val="Heading2"/>
      </w:pPr>
      <w:bookmarkStart w:id="25" w:name="path-forward"/>
      <w:r>
        <w:t>Path Forward</w:t>
      </w:r>
      <w:bookmarkEnd w:id="25"/>
    </w:p>
    <w:p w14:paraId="41BB9E23" w14:textId="77777777" w:rsidR="00B33134" w:rsidRDefault="00000000">
      <w:pPr>
        <w:pStyle w:val="Heading3"/>
      </w:pPr>
      <w:bookmarkStart w:id="26" w:name="this-is-a-reference-architecture"/>
      <w:r>
        <w:t>This Is a Reference Architecture</w:t>
      </w:r>
      <w:bookmarkEnd w:id="26"/>
    </w:p>
    <w:p w14:paraId="55AE8BBE" w14:textId="77777777" w:rsidR="00B33134" w:rsidRDefault="00000000">
      <w:pPr>
        <w:pStyle w:val="FirstParagraph"/>
      </w:pPr>
      <w:r>
        <w:t>The CMGF is a conceptual architecture and proof-of-concept demonstration. It is not a mature technology ready for immediate adoption. This paper articulates architecture. Implementation requires institutional governance capacity, rule base development, pilot validation, and sustained cross-sector coordination.</w:t>
      </w:r>
    </w:p>
    <w:p w14:paraId="2433C880" w14:textId="77777777" w:rsidR="00B33134" w:rsidRDefault="00000000">
      <w:pPr>
        <w:pStyle w:val="BodyText"/>
      </w:pPr>
      <w:r>
        <w:t xml:space="preserve">This white paper is an invitation to consider whether the governance-constrained approach aligns with institutional values, federal AI standards, and the needs articulated through the </w:t>
      </w:r>
      <w:r>
        <w:rPr>
          <w:b/>
        </w:rPr>
        <w:t>Voice of the Veteran</w:t>
      </w:r>
      <w:r>
        <w:t>. It is a starting point for conversation, not a finished solution.</w:t>
      </w:r>
    </w:p>
    <w:p w14:paraId="719F8D1F" w14:textId="77777777" w:rsidR="00B33134" w:rsidRDefault="00000000">
      <w:pPr>
        <w:pStyle w:val="Heading3"/>
      </w:pPr>
      <w:bookmarkStart w:id="27" w:name="potential-next-steps"/>
      <w:r>
        <w:t>Potential Next Steps</w:t>
      </w:r>
      <w:bookmarkEnd w:id="27"/>
    </w:p>
    <w:p w14:paraId="10F5C810" w14:textId="77777777" w:rsidR="00B33134" w:rsidRDefault="00000000">
      <w:pPr>
        <w:pStyle w:val="FirstParagraph"/>
      </w:pPr>
      <w:r>
        <w:t>Institutions and policymakers interested in exploring this approach might consider:</w:t>
      </w:r>
    </w:p>
    <w:p w14:paraId="4008D392" w14:textId="77777777" w:rsidR="00B33134" w:rsidRDefault="00000000">
      <w:pPr>
        <w:pStyle w:val="BodyText"/>
      </w:pPr>
      <w:r>
        <w:rPr>
          <w:b/>
        </w:rPr>
        <w:t>Concept Validation Workshops</w:t>
      </w:r>
      <w:r>
        <w:br/>
        <w:t>Convene advisors, policymakers, legal counsel, and veterans to evaluate whether the principles and architecture described here address real problems and align with institutional governance requirements.</w:t>
      </w:r>
    </w:p>
    <w:p w14:paraId="2DA96600" w14:textId="77777777" w:rsidR="00B33134" w:rsidRDefault="00000000">
      <w:pPr>
        <w:pStyle w:val="BodyText"/>
      </w:pPr>
      <w:r>
        <w:rPr>
          <w:b/>
        </w:rPr>
        <w:t>Pilot Rule Base Development</w:t>
      </w:r>
      <w:r>
        <w:br/>
        <w:t>Select a specific credential pathway (e.g., nursing, cybersecurity, project management) and work with subject matter experts to encode authoritative constraints. Test whether the constraint binding process produces useful outputs.</w:t>
      </w:r>
    </w:p>
    <w:p w14:paraId="56BADF4C" w14:textId="77777777" w:rsidR="00B33134" w:rsidRDefault="00000000">
      <w:pPr>
        <w:pStyle w:val="BodyText"/>
      </w:pPr>
      <w:r>
        <w:rPr>
          <w:b/>
        </w:rPr>
        <w:lastRenderedPageBreak/>
        <w:t>Federal Coordination Exploration</w:t>
      </w:r>
      <w:r>
        <w:br/>
        <w:t>Engage with VA, DoD, Department of Labor, and Department of Education representatives to assess whether cross-agency policy harmonization efforts could benefit from shared constraint encoding infrastructure.</w:t>
      </w:r>
    </w:p>
    <w:p w14:paraId="5A154385" w14:textId="77777777" w:rsidR="00B33134" w:rsidRDefault="00000000">
      <w:pPr>
        <w:pStyle w:val="BodyText"/>
      </w:pPr>
      <w:r>
        <w:rPr>
          <w:b/>
        </w:rPr>
        <w:t>Vendor Accountability Standards</w:t>
      </w:r>
      <w:r>
        <w:br/>
        <w:t>Develop procurement requirements and evaluation criteria that hold AI advising tool vendors accountable to the governance principles articulated in this white paper. Demand transparency, audit trails, and human authority preservation.</w:t>
      </w:r>
    </w:p>
    <w:p w14:paraId="7CCC2825" w14:textId="77777777" w:rsidR="00B33134" w:rsidRDefault="00000000">
      <w:pPr>
        <w:pStyle w:val="BodyText"/>
      </w:pPr>
      <w:r>
        <w:rPr>
          <w:b/>
        </w:rPr>
        <w:t>Governance Infrastructure Investment</w:t>
      </w:r>
      <w:r>
        <w:br/>
        <w:t>Recognize that responsible AI requires institutional capacity for rule base maintenance, conflict resolution, and audit review. Budget for governance roles, not just technology licenses.</w:t>
      </w:r>
    </w:p>
    <w:p w14:paraId="3F2D03AF" w14:textId="77777777" w:rsidR="00B33134" w:rsidRDefault="00000000">
      <w:pPr>
        <w:pStyle w:val="Heading3"/>
      </w:pPr>
      <w:bookmarkStart w:id="28" w:name="a-call-for-disciplined-design"/>
      <w:r>
        <w:t>A Call for Disciplined Design</w:t>
      </w:r>
      <w:bookmarkEnd w:id="28"/>
    </w:p>
    <w:p w14:paraId="3CF32E4F" w14:textId="77777777" w:rsidR="00B33134" w:rsidRDefault="00000000">
      <w:pPr>
        <w:pStyle w:val="FirstParagraph"/>
      </w:pPr>
      <w:r>
        <w:t>AI will likely play a role in military learner transitions. The question is not whether AI will be used but how it will be governed.</w:t>
      </w:r>
    </w:p>
    <w:p w14:paraId="58446F74" w14:textId="77777777" w:rsidR="00B33134" w:rsidRDefault="00000000">
      <w:pPr>
        <w:pStyle w:val="BodyText"/>
      </w:pPr>
      <w:r>
        <w:t>Current trajectories favor predictive, optimization-driven, vendor-controlled systems that prioritize efficiency over accountability. These systems may deliver short-term gains in completion rates or placement metrics, but they transfer authority, obscure decision logic, and create risks that institutions may not be equipped to manage.</w:t>
      </w:r>
    </w:p>
    <w:p w14:paraId="54749E6A" w14:textId="77777777" w:rsidR="00B33134" w:rsidRDefault="00000000">
      <w:pPr>
        <w:pStyle w:val="BodyText"/>
      </w:pPr>
      <w:r>
        <w:t>The governance-constrained alternative requires more discipline. It demands that institutions articulate their policies clearly, that policymakers resolve conflicts explicitly, and that technology serves governance rather than replacing it. This is harder work. It is also more durable work.</w:t>
      </w:r>
    </w:p>
    <w:p w14:paraId="18EE2A38" w14:textId="79BBC786" w:rsidR="00B33134" w:rsidRDefault="00000000">
      <w:pPr>
        <w:pStyle w:val="BodyText"/>
      </w:pPr>
      <w:r>
        <w:t xml:space="preserve">The </w:t>
      </w:r>
      <w:r>
        <w:rPr>
          <w:b/>
        </w:rPr>
        <w:t>Voice of the Veteran</w:t>
      </w:r>
      <w:r>
        <w:t xml:space="preserve"> consistently reports that transition systems feel opaque, inconsistent, and disempowering. Predictive AI alone will not solve this problem. Transparency, accountability, and human authority preservation will.</w:t>
      </w:r>
    </w:p>
    <w:p w14:paraId="03D6546E" w14:textId="3E0CB9E2" w:rsidR="00B33134" w:rsidRDefault="00000000">
      <w:pPr>
        <w:pStyle w:val="BodyText"/>
      </w:pPr>
      <w:r>
        <w:t>The Career Mobility Governance Framework demonstrates that these principles can be operationalized. Governance constraints can survive translation into executable logic. Deterministic systems can manage structured constraint complexity. Value can be delivered without prediction, optimization, or automation.</w:t>
      </w:r>
    </w:p>
    <w:p w14:paraId="5071A846" w14:textId="77777777" w:rsidR="00B33134" w:rsidRDefault="00000000">
      <w:pPr>
        <w:pStyle w:val="BodyText"/>
      </w:pPr>
      <w:r>
        <w:t>What remains is institutional will and collective commitment to ensuring that AI serves servicemembers without compromising the values that define public sector institutions.</w:t>
      </w:r>
    </w:p>
    <w:p w14:paraId="52287E1A" w14:textId="77777777" w:rsidR="00B33134" w:rsidRDefault="00000000">
      <w:pPr>
        <w:pStyle w:val="Heading2"/>
      </w:pPr>
      <w:bookmarkStart w:id="29" w:name="conclusion"/>
      <w:r>
        <w:t>Conclusion</w:t>
      </w:r>
      <w:bookmarkEnd w:id="29"/>
    </w:p>
    <w:p w14:paraId="767A8E93" w14:textId="77777777" w:rsidR="00B33134" w:rsidRDefault="00000000">
      <w:pPr>
        <w:pStyle w:val="FirstParagraph"/>
      </w:pPr>
      <w:r>
        <w:t xml:space="preserve">Military servicemembers transitioning to civilian careers navigate a fragmented landscape of credentials, benefits, and policies issued by independent authorities operating without </w:t>
      </w:r>
      <w:r>
        <w:lastRenderedPageBreak/>
        <w:t>coordination. The five Track 1 pillars—</w:t>
      </w:r>
      <w:r>
        <w:rPr>
          <w:b/>
        </w:rPr>
        <w:t>Military Learner Transitions</w:t>
      </w:r>
      <w:r>
        <w:t xml:space="preserve">, </w:t>
      </w:r>
      <w:r>
        <w:rPr>
          <w:b/>
        </w:rPr>
        <w:t>Career Mobility and Alignment</w:t>
      </w:r>
      <w:r>
        <w:t xml:space="preserve">, </w:t>
      </w:r>
      <w:r>
        <w:rPr>
          <w:b/>
        </w:rPr>
        <w:t>Credential Translation and Stackable Pathways</w:t>
      </w:r>
      <w:r>
        <w:t xml:space="preserve">, </w:t>
      </w:r>
      <w:r>
        <w:rPr>
          <w:b/>
        </w:rPr>
        <w:t>Advising Tools and Decision Support</w:t>
      </w:r>
      <w:r>
        <w:t xml:space="preserve">, and </w:t>
      </w:r>
      <w:r>
        <w:rPr>
          <w:b/>
        </w:rPr>
        <w:t>Voice of the Veteran</w:t>
      </w:r>
      <w:r>
        <w:t>—define this ecosystem but currently operate in isolation.</w:t>
      </w:r>
    </w:p>
    <w:p w14:paraId="56BC8327" w14:textId="77777777" w:rsidR="00B33134" w:rsidRDefault="00000000">
      <w:pPr>
        <w:pStyle w:val="BodyText"/>
      </w:pPr>
      <w:r>
        <w:t xml:space="preserve">Current AI approaches, focused on prediction, optimization, and automation, are misaligned with the governance requirements of public sector advising systems and inconsistent with centering the </w:t>
      </w:r>
      <w:r>
        <w:rPr>
          <w:b/>
        </w:rPr>
        <w:t>Voice of the Veteran</w:t>
      </w:r>
      <w:r>
        <w:t xml:space="preserve"> in system design.</w:t>
      </w:r>
    </w:p>
    <w:p w14:paraId="190062C9" w14:textId="77777777" w:rsidR="00B33134" w:rsidRDefault="00000000">
      <w:pPr>
        <w:pStyle w:val="BodyText"/>
      </w:pPr>
      <w:r>
        <w:t xml:space="preserve">The </w:t>
      </w:r>
      <w:r>
        <w:rPr>
          <w:b/>
        </w:rPr>
        <w:t>Career Mobility Governance Framework</w:t>
      </w:r>
      <w:r>
        <w:t xml:space="preserve"> offers an alternative: a governance-constrained architecture where AI functions as binding infrastructure rather than decision engine. By encoding policy rules, surfacing conflicts, and preserving human authority, the framework demonstrates that AI can reduce complexity and improve decision support without introducing the risks of predictive modeling, automated decision-making, or individual profiling.</w:t>
      </w:r>
    </w:p>
    <w:p w14:paraId="3EDA76E9" w14:textId="77777777" w:rsidR="00B33134" w:rsidRDefault="00000000">
      <w:pPr>
        <w:pStyle w:val="BodyText"/>
      </w:pPr>
      <w:r>
        <w:t xml:space="preserve">This approach aligns with federal AI governance standards, reduces institutional risk, and creates conditions for incremental policy harmonization. It treats transparency, accountability, and the </w:t>
      </w:r>
      <w:r>
        <w:rPr>
          <w:b/>
        </w:rPr>
        <w:t>Voice of the Veteran</w:t>
      </w:r>
      <w:r>
        <w:t xml:space="preserve"> as design requirements, not aspirational goals.</w:t>
      </w:r>
    </w:p>
    <w:p w14:paraId="5E10A3D5" w14:textId="02DB970E" w:rsidR="00B33134" w:rsidRDefault="00000000">
      <w:pPr>
        <w:pStyle w:val="BodyText"/>
      </w:pPr>
      <w:r>
        <w:t>The Credential Sequencing Engine demonstrates that these principles can be operationalized. Governance constraints can survive translation into executable logic. Deterministic systems can manage structured constraint complexity.. Value can be delivered without prediction.</w:t>
      </w:r>
    </w:p>
    <w:p w14:paraId="3F69FE64" w14:textId="77777777" w:rsidR="00B33134" w:rsidRDefault="00000000">
      <w:pPr>
        <w:pStyle w:val="BodyText"/>
      </w:pPr>
      <w:r>
        <w:t>The strategic implication is clear: responsible AI in military transition advising is feasible, but it requires disciplined design, cross-sector collaboration, and sustained commitment to governance-constrained principles. The binding-layer architecture demonstrated here for education and credentialing extends to every institutional authority that touches the service member lifecycle. Companion briefs in the CMGF series document this broader applicability, including the sandbox architecture for SM privacy protection (CMGF-04), deferred credential infrastructure components (CMGF-05), and the full authority landscape analysis (CMGF-06). The future of military learner transitions depends not on building smarter algorithms but on building better systems—systems that serve servicemembers while preserving the accountability, transparency, and human agency that define public sector institutions.</w:t>
      </w:r>
    </w:p>
    <w:p w14:paraId="60511E43" w14:textId="77777777" w:rsidR="00B33134" w:rsidRDefault="00000000">
      <w:pPr>
        <w:pStyle w:val="BodyText"/>
      </w:pPr>
      <w:r>
        <w:t>This white paper is a call to action. The architectural feasibility has been demonstrated. The governance principles are established. What remains is institutional will and collective commitment to ensuring that AI serves governance rather than replacing it.</w:t>
      </w:r>
    </w:p>
    <w:p w14:paraId="2302EBAD" w14:textId="77777777" w:rsidR="00B33134" w:rsidRDefault="00000000">
      <w:pPr>
        <w:pStyle w:val="BodyText"/>
      </w:pPr>
      <w:r>
        <w:rPr>
          <w:b/>
        </w:rPr>
        <w:t>The path forward begins with centering the Voice of the Veteran and preserving human authority. Everything else follows from that foundation.</w:t>
      </w:r>
    </w:p>
    <w:sectPr w:rsidR="00B33134">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A4037" w14:textId="77777777" w:rsidR="00360F12" w:rsidRDefault="00360F12">
      <w:pPr>
        <w:spacing w:after="0"/>
      </w:pPr>
      <w:r>
        <w:separator/>
      </w:r>
    </w:p>
  </w:endnote>
  <w:endnote w:type="continuationSeparator" w:id="0">
    <w:p w14:paraId="16B68CCC" w14:textId="77777777" w:rsidR="00360F12" w:rsidRDefault="00360F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824CC" w14:textId="77777777" w:rsidR="00360F12" w:rsidRDefault="00360F12">
      <w:r>
        <w:separator/>
      </w:r>
    </w:p>
  </w:footnote>
  <w:footnote w:type="continuationSeparator" w:id="0">
    <w:p w14:paraId="14AC6C75" w14:textId="77777777" w:rsidR="00360F12" w:rsidRDefault="00360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DEE8" w14:textId="75F8B90B" w:rsidR="00486E8B" w:rsidRDefault="00486E8B" w:rsidP="00486E8B">
    <w:pPr>
      <w:pStyle w:val="Heading1"/>
    </w:pPr>
    <w:r>
      <w:t xml:space="preserve">CMGF-01 Executive White Paper </w:t>
    </w:r>
    <w:r>
      <w:tab/>
    </w:r>
    <w:r>
      <w:tab/>
    </w:r>
    <w:r>
      <w:tab/>
    </w:r>
    <w:r>
      <w:tab/>
    </w:r>
    <w:r>
      <w:tab/>
    </w:r>
    <w:r>
      <w:tab/>
      <w:t xml:space="preserve">       </w:t>
    </w:r>
    <w:r>
      <w:fldChar w:fldCharType="begin"/>
    </w:r>
    <w:r>
      <w:instrText xml:space="preserve"> PAGE  \* Arabic  \* MERGEFORMAT </w:instrText>
    </w:r>
    <w:r>
      <w:fldChar w:fldCharType="separate"/>
    </w:r>
    <w:r>
      <w:rPr>
        <w:noProof/>
      </w:rPr>
      <w:t>1</w:t>
    </w:r>
    <w:r>
      <w:fldChar w:fldCharType="end"/>
    </w:r>
  </w:p>
  <w:p w14:paraId="56AF9CC1" w14:textId="77777777" w:rsidR="00486E8B" w:rsidRDefault="00486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34E33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EEA74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DF34605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446850212">
    <w:abstractNumId w:val="1"/>
  </w:num>
  <w:num w:numId="2" w16cid:durableId="1312172561">
    <w:abstractNumId w:val="0"/>
  </w:num>
  <w:num w:numId="3" w16cid:durableId="1176651282">
    <w:abstractNumId w:val="0"/>
  </w:num>
  <w:num w:numId="4" w16cid:durableId="658314567">
    <w:abstractNumId w:val="0"/>
  </w:num>
  <w:num w:numId="5" w16cid:durableId="117575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5719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748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A56E8"/>
    <w:rsid w:val="000B61C0"/>
    <w:rsid w:val="000E6B5E"/>
    <w:rsid w:val="00141D22"/>
    <w:rsid w:val="00330429"/>
    <w:rsid w:val="00360F12"/>
    <w:rsid w:val="00486E8B"/>
    <w:rsid w:val="004B3A9F"/>
    <w:rsid w:val="004E29B3"/>
    <w:rsid w:val="005850C6"/>
    <w:rsid w:val="00590D07"/>
    <w:rsid w:val="00784D58"/>
    <w:rsid w:val="00887CBE"/>
    <w:rsid w:val="00891604"/>
    <w:rsid w:val="008D6863"/>
    <w:rsid w:val="009D4979"/>
    <w:rsid w:val="00B33134"/>
    <w:rsid w:val="00B86B75"/>
    <w:rsid w:val="00BC48D5"/>
    <w:rsid w:val="00C36279"/>
    <w:rsid w:val="00E05C94"/>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24CD"/>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6E8B"/>
    <w:pPr>
      <w:tabs>
        <w:tab w:val="center" w:pos="4680"/>
        <w:tab w:val="right" w:pos="9360"/>
      </w:tabs>
      <w:spacing w:after="0"/>
    </w:pPr>
  </w:style>
  <w:style w:type="character" w:customStyle="1" w:styleId="HeaderChar">
    <w:name w:val="Header Char"/>
    <w:basedOn w:val="DefaultParagraphFont"/>
    <w:link w:val="Header"/>
    <w:rsid w:val="00486E8B"/>
  </w:style>
  <w:style w:type="paragraph" w:styleId="Footer">
    <w:name w:val="footer"/>
    <w:basedOn w:val="Normal"/>
    <w:link w:val="FooterChar"/>
    <w:rsid w:val="00486E8B"/>
    <w:pPr>
      <w:tabs>
        <w:tab w:val="center" w:pos="4680"/>
        <w:tab w:val="right" w:pos="9360"/>
      </w:tabs>
      <w:spacing w:after="0"/>
    </w:pPr>
  </w:style>
  <w:style w:type="character" w:customStyle="1" w:styleId="FooterChar">
    <w:name w:val="Footer Char"/>
    <w:basedOn w:val="DefaultParagraphFont"/>
    <w:link w:val="Footer"/>
    <w:rsid w:val="00486E8B"/>
  </w:style>
  <w:style w:type="character" w:customStyle="1" w:styleId="Heading1Char">
    <w:name w:val="Heading 1 Char"/>
    <w:basedOn w:val="DefaultParagraphFont"/>
    <w:link w:val="Heading1"/>
    <w:uiPriority w:val="9"/>
    <w:rsid w:val="00486E8B"/>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4429</Words>
  <Characters>29945</Characters>
  <Application>Microsoft Office Word</Application>
  <DocSecurity>0</DocSecurity>
  <Lines>534</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McCoy</dc:creator>
  <cp:keywords/>
  <cp:lastModifiedBy>Robert McCoy</cp:lastModifiedBy>
  <cp:revision>2</cp:revision>
  <dcterms:created xsi:type="dcterms:W3CDTF">2026-03-12T01:28:00Z</dcterms:created>
  <dcterms:modified xsi:type="dcterms:W3CDTF">2026-03-12T01:28:00Z</dcterms:modified>
</cp:coreProperties>
</file>