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BAA5" w14:textId="77777777" w:rsidR="00826935" w:rsidRDefault="00000000">
      <w:pPr>
        <w:spacing w:after="40"/>
        <w:rPr>
          <w:color w:val="666666"/>
          <w:sz w:val="20"/>
          <w:szCs w:val="20"/>
        </w:rPr>
      </w:pPr>
      <w:r>
        <w:rPr>
          <w:color w:val="666666"/>
          <w:sz w:val="20"/>
          <w:szCs w:val="20"/>
        </w:rPr>
        <w:t>CMGF Series 2026</w:t>
      </w:r>
    </w:p>
    <w:p w14:paraId="4564319E" w14:textId="77777777" w:rsidR="00826935" w:rsidRDefault="00000000">
      <w:pPr>
        <w:spacing w:after="40"/>
        <w:rPr>
          <w:b/>
          <w:bCs/>
          <w:color w:val="1F3864"/>
          <w:sz w:val="36"/>
          <w:szCs w:val="36"/>
        </w:rPr>
      </w:pPr>
      <w:r>
        <w:rPr>
          <w:b/>
          <w:bCs/>
          <w:color w:val="1F3864"/>
          <w:sz w:val="36"/>
          <w:szCs w:val="36"/>
        </w:rPr>
        <w:t>CMGF-05 Credential Infrastructure, Session Continuity, and Upstream Integration</w:t>
      </w:r>
    </w:p>
    <w:p w14:paraId="2FD066E5" w14:textId="77777777" w:rsidR="00826935" w:rsidRDefault="00000000">
      <w:pPr>
        <w:spacing w:after="40"/>
        <w:rPr>
          <w:color w:val="1F3864"/>
          <w:sz w:val="28"/>
          <w:szCs w:val="28"/>
        </w:rPr>
      </w:pPr>
      <w:r>
        <w:rPr>
          <w:color w:val="1F3864"/>
          <w:sz w:val="28"/>
          <w:szCs w:val="28"/>
        </w:rPr>
        <w:t>Career Mobility Governance Framework</w:t>
      </w:r>
    </w:p>
    <w:p w14:paraId="690839A1" w14:textId="77777777" w:rsidR="00826935" w:rsidRDefault="00000000">
      <w:pPr>
        <w:spacing w:after="120"/>
        <w:rPr>
          <w:i/>
          <w:iCs/>
          <w:color w:val="444444"/>
        </w:rPr>
      </w:pPr>
      <w:r>
        <w:rPr>
          <w:i/>
          <w:iCs/>
          <w:color w:val="444444"/>
        </w:rPr>
        <w:t>Deferred Architecture Components and Future Integration Pathways</w:t>
      </w:r>
    </w:p>
    <w:p w14:paraId="7B97B88A" w14:textId="77777777" w:rsidR="00826935" w:rsidRDefault="00826935">
      <w:pPr>
        <w:pBdr>
          <w:bottom w:val="single" w:sz="6" w:space="1" w:color="1F3864"/>
        </w:pBdr>
        <w:spacing w:after="40"/>
      </w:pPr>
    </w:p>
    <w:p w14:paraId="068F8B49" w14:textId="77777777" w:rsidR="00826935" w:rsidRDefault="00000000">
      <w:pPr>
        <w:spacing w:after="40"/>
        <w:rPr>
          <w:sz w:val="22"/>
          <w:szCs w:val="22"/>
        </w:rPr>
      </w:pPr>
      <w:r>
        <w:rPr>
          <w:sz w:val="22"/>
          <w:szCs w:val="22"/>
        </w:rPr>
        <w:t>Author: Robert E. McCoy</w:t>
      </w:r>
    </w:p>
    <w:p w14:paraId="4BDF1A74" w14:textId="77777777" w:rsidR="00826935" w:rsidRDefault="00000000">
      <w:pPr>
        <w:spacing w:after="240"/>
        <w:rPr>
          <w:sz w:val="22"/>
          <w:szCs w:val="22"/>
        </w:rPr>
      </w:pPr>
      <w:r>
        <w:rPr>
          <w:sz w:val="22"/>
          <w:szCs w:val="22"/>
        </w:rPr>
        <w:t>Prepared for: System Architects, Governance Stakeholders, Future Pilot Design Teams</w:t>
      </w:r>
    </w:p>
    <w:p w14:paraId="4906B10D" w14:textId="77777777" w:rsidR="00826935" w:rsidRDefault="00000000">
      <w:pPr>
        <w:pStyle w:val="Heading1"/>
        <w:spacing w:after="120"/>
      </w:pPr>
      <w:r>
        <w:t>Executive Overview</w:t>
      </w:r>
    </w:p>
    <w:p w14:paraId="20C3228E" w14:textId="77777777" w:rsidR="00826935" w:rsidRDefault="00000000">
      <w:pPr>
        <w:spacing w:after="160"/>
      </w:pPr>
      <w:r>
        <w:t xml:space="preserve">The Career Mobility Governance Framework (CMGF) was scoped as a governance-first architecture addressing the binding-layer problem in military transition advising. During the design process, several technically feasible infrastructure components were identified, evaluated, and deliberately deferred. These deferrals were not </w:t>
      </w:r>
      <w:proofErr w:type="gramStart"/>
      <w:r>
        <w:t>oversights</w:t>
      </w:r>
      <w:proofErr w:type="gramEnd"/>
      <w:r>
        <w:t xml:space="preserve"> but principled scoping decisions driven by governance maturity, institutional readiness, and the boundaries appropriate to a capstone research contribution.</w:t>
      </w:r>
    </w:p>
    <w:p w14:paraId="79116B76" w14:textId="77777777" w:rsidR="00826935" w:rsidRDefault="00000000">
      <w:pPr>
        <w:spacing w:after="160"/>
      </w:pPr>
      <w:proofErr w:type="gramStart"/>
      <w:r>
        <w:t>This brief documents</w:t>
      </w:r>
      <w:proofErr w:type="gramEnd"/>
      <w:r>
        <w:t xml:space="preserve"> the three most significant deferred components, explains the rationale for each deferral, defines the architectural integration points where each component would connect to the existing CMGF twelve-layer architecture, and establishes evaluation criteria for determining when institutional conditions are sufficient to proceed with development.</w:t>
      </w:r>
    </w:p>
    <w:p w14:paraId="2C5491D1" w14:textId="77777777" w:rsidR="00826935" w:rsidRDefault="00000000">
      <w:pPr>
        <w:spacing w:after="160"/>
      </w:pPr>
      <w:r>
        <w:t>The three deferred components addressed in this document are:</w:t>
      </w:r>
    </w:p>
    <w:p w14:paraId="436AD3D2" w14:textId="77777777" w:rsidR="00826935" w:rsidRDefault="00000000">
      <w:pPr>
        <w:pStyle w:val="ListParagraph"/>
        <w:numPr>
          <w:ilvl w:val="0"/>
          <w:numId w:val="2"/>
        </w:numPr>
        <w:spacing w:after="80"/>
      </w:pPr>
      <w:r>
        <w:rPr>
          <w:b/>
          <w:bCs/>
        </w:rPr>
        <w:t xml:space="preserve">Sovereign Credential Ledger: </w:t>
      </w:r>
      <w:r>
        <w:t>A blockchain or distributed ledger technology (DLT) system that creates a portable, verifiable, service-member-controlled record of all earned credentials, training completions, test scores, and awarded credits.</w:t>
      </w:r>
    </w:p>
    <w:p w14:paraId="744CF168" w14:textId="77777777" w:rsidR="00826935" w:rsidRDefault="00000000">
      <w:pPr>
        <w:pStyle w:val="ListParagraph"/>
        <w:numPr>
          <w:ilvl w:val="0"/>
          <w:numId w:val="2"/>
        </w:numPr>
        <w:spacing w:after="80"/>
      </w:pPr>
      <w:r>
        <w:rPr>
          <w:b/>
          <w:bCs/>
        </w:rPr>
        <w:t xml:space="preserve">Credit Clearing House Partnership: </w:t>
      </w:r>
      <w:r>
        <w:t>An institutional mechanism, modeled on organizations such as Excelsior College (formerly Regents College), that converts ACE credit recommendations into formally awarded, transcript-bearing academic credit through a recognized accredited institution.</w:t>
      </w:r>
    </w:p>
    <w:p w14:paraId="46D625FB" w14:textId="77777777" w:rsidR="00826935" w:rsidRDefault="00000000">
      <w:pPr>
        <w:pStyle w:val="ListParagraph"/>
        <w:numPr>
          <w:ilvl w:val="0"/>
          <w:numId w:val="2"/>
        </w:numPr>
        <w:spacing w:after="80"/>
      </w:pPr>
      <w:r>
        <w:rPr>
          <w:b/>
          <w:bCs/>
        </w:rPr>
        <w:t xml:space="preserve">Session Continuity Architecture: </w:t>
      </w:r>
      <w:r>
        <w:t>A privacy-preserving mechanism that enables temporal awareness across advising sessions without creating persistent behavioral profiles, addressing the tension between session isolation and longitudinal planning value.</w:t>
      </w:r>
    </w:p>
    <w:p w14:paraId="207BEA1F" w14:textId="77777777" w:rsidR="00826935" w:rsidRDefault="00000000">
      <w:pPr>
        <w:spacing w:after="160"/>
      </w:pPr>
      <w:r>
        <w:t xml:space="preserve">Each component is analyzed through the lens of the CMGF four-tier authority classification, the twelve-layer architecture, and alignment with the NIST AI Risk Management Framework. These components are applicable across all institutional channels documented in CMGF-06, not solely the education services domain. This document is intended as a record of architectural reasoning for future pilot design teams and governance stakeholders. All three components operate within the sandbox/transaction boundary documented in CMGF-04: service member exploration of </w:t>
      </w:r>
      <w:r>
        <w:lastRenderedPageBreak/>
        <w:t>these capabilities in sandbox mode generates no institutional signal, while transactional engagement follows the standard governed pipeline.</w:t>
      </w:r>
    </w:p>
    <w:p w14:paraId="4CD17C3B" w14:textId="77777777" w:rsidR="00826935" w:rsidRDefault="00000000">
      <w:r>
        <w:br w:type="page"/>
      </w:r>
    </w:p>
    <w:p w14:paraId="1B97BC87" w14:textId="77777777" w:rsidR="00826935" w:rsidRDefault="00000000">
      <w:pPr>
        <w:pStyle w:val="Heading1"/>
        <w:spacing w:after="120"/>
      </w:pPr>
      <w:r>
        <w:lastRenderedPageBreak/>
        <w:t>Scoping Rationale and Design Principles</w:t>
      </w:r>
    </w:p>
    <w:p w14:paraId="27283966" w14:textId="77777777" w:rsidR="00826935" w:rsidRDefault="00000000">
      <w:pPr>
        <w:spacing w:after="160"/>
      </w:pPr>
      <w:r>
        <w:t>CMGF deliberately separates three distinct problems that are frequently conflated in discussions of AI-enabled advising and credential portability:</w:t>
      </w:r>
    </w:p>
    <w:p w14:paraId="4D2EB3ED" w14:textId="77777777" w:rsidR="00826935" w:rsidRDefault="00000000">
      <w:pPr>
        <w:pStyle w:val="ListParagraph"/>
        <w:numPr>
          <w:ilvl w:val="0"/>
          <w:numId w:val="2"/>
        </w:numPr>
        <w:spacing w:after="80"/>
      </w:pPr>
      <w:r>
        <w:rPr>
          <w:b/>
          <w:bCs/>
        </w:rPr>
        <w:t xml:space="preserve">The Credential Provenance Problem: </w:t>
      </w:r>
      <w:r>
        <w:t>How do we create a verifiable, portable record of what a service member has earned? This problem concerns data integrity, authentication, and portability across institutional boundaries.</w:t>
      </w:r>
    </w:p>
    <w:p w14:paraId="13B97BF1" w14:textId="77777777" w:rsidR="00826935" w:rsidRDefault="00000000">
      <w:pPr>
        <w:pStyle w:val="ListParagraph"/>
        <w:numPr>
          <w:ilvl w:val="0"/>
          <w:numId w:val="2"/>
        </w:numPr>
        <w:spacing w:after="80"/>
      </w:pPr>
      <w:r>
        <w:rPr>
          <w:b/>
          <w:bCs/>
        </w:rPr>
        <w:t xml:space="preserve">The Credential Authority Problem: </w:t>
      </w:r>
      <w:r>
        <w:t>Who has the power to award, recognize, and accept credentials across jurisdictions? This is an institutional governance problem that no technology alone can resolve.</w:t>
      </w:r>
    </w:p>
    <w:p w14:paraId="4DD49528" w14:textId="77777777" w:rsidR="00826935" w:rsidRDefault="00000000">
      <w:pPr>
        <w:pStyle w:val="ListParagraph"/>
        <w:numPr>
          <w:ilvl w:val="0"/>
          <w:numId w:val="2"/>
        </w:numPr>
        <w:spacing w:after="80"/>
      </w:pPr>
      <w:r>
        <w:rPr>
          <w:b/>
          <w:bCs/>
        </w:rPr>
        <w:t xml:space="preserve">The Credential Binding Problem: </w:t>
      </w:r>
      <w:r>
        <w:t>Given heterogeneous credential data of varying authority strength, how do we surface what is feasible, what conflicts, and what requires human resolution for a specific service member in a specific context?</w:t>
      </w:r>
    </w:p>
    <w:p w14:paraId="6F6AF9BE" w14:textId="77777777" w:rsidR="00826935" w:rsidRDefault="00000000">
      <w:pPr>
        <w:spacing w:after="160"/>
      </w:pPr>
      <w:r>
        <w:t>CMGF, as presented in the core framework documents (CMGF-00 through CMGF-03), addresses the third problem. The binding layer operates on credential data regardless of its source format, encoding authority tags and applying deterministic constraint logic to surface feasibility, conflicts, and decision points for human resolution.</w:t>
      </w:r>
    </w:p>
    <w:p w14:paraId="75FBE289" w14:textId="77777777" w:rsidR="00826935" w:rsidRDefault="00000000">
      <w:pPr>
        <w:spacing w:after="160"/>
      </w:pPr>
      <w:r>
        <w:t>The first two problems, credential provenance and credential authority, sit upstream of the binding layer. Solving them would improve the quality of data flowing into CMGF but would not alter the binding layer’s governance architecture. This separation is intentional: it ensures that CMGF remains valid and operational regardless of how upstream credential infrastructure evolves.</w:t>
      </w:r>
    </w:p>
    <w:p w14:paraId="5B2E8CFE" w14:textId="77777777" w:rsidR="00826935" w:rsidRDefault="00000000">
      <w:pPr>
        <w:spacing w:after="160"/>
      </w:pPr>
      <w:r>
        <w:t xml:space="preserve">Each deferred component was evaluated against four criteria before the decision to </w:t>
      </w:r>
      <w:proofErr w:type="gramStart"/>
      <w:r>
        <w:t>defer</w:t>
      </w:r>
      <w:proofErr w:type="gramEnd"/>
      <w:r>
        <w:t xml:space="preserve"> was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6935" w14:paraId="0BAA9E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E3C36B" w14:textId="77777777" w:rsidR="00826935" w:rsidRDefault="00000000">
            <w:r>
              <w:rPr>
                <w:b/>
                <w:bCs/>
                <w:color w:val="FFFFFF"/>
                <w:sz w:val="22"/>
                <w:szCs w:val="22"/>
              </w:rPr>
              <w:t>Criterion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CC9CDC" w14:textId="77777777" w:rsidR="00826935" w:rsidRDefault="00000000">
            <w:r>
              <w:rPr>
                <w:b/>
                <w:bCs/>
                <w:color w:val="FFFFFF"/>
                <w:sz w:val="22"/>
                <w:szCs w:val="22"/>
              </w:rPr>
              <w:t>Description</w:t>
            </w:r>
          </w:p>
        </w:tc>
      </w:tr>
      <w:tr w:rsidR="00826935" w14:paraId="2152AB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27AF2" w14:textId="77777777" w:rsidR="00826935" w:rsidRDefault="00000000">
            <w:r>
              <w:rPr>
                <w:color w:val="000000"/>
                <w:sz w:val="22"/>
                <w:szCs w:val="22"/>
              </w:rPr>
              <w:t>Governance Maturity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34DF6" w14:textId="77777777" w:rsidR="00826935" w:rsidRDefault="00000000">
            <w:r>
              <w:rPr>
                <w:color w:val="000000"/>
                <w:sz w:val="22"/>
                <w:szCs w:val="22"/>
              </w:rPr>
              <w:t>Does the institutional governance infrastructure exist to authorize, oversee, and sustain this component?</w:t>
            </w:r>
          </w:p>
        </w:tc>
      </w:tr>
      <w:tr w:rsidR="00826935" w14:paraId="6DDDC6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B3BB7" w14:textId="77777777" w:rsidR="00826935" w:rsidRDefault="00000000">
            <w:r>
              <w:rPr>
                <w:color w:val="000000"/>
                <w:sz w:val="22"/>
                <w:szCs w:val="22"/>
              </w:rPr>
              <w:t>Authority Alignment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EE6EC" w14:textId="77777777" w:rsidR="00826935" w:rsidRDefault="00000000">
            <w:r>
              <w:rPr>
                <w:color w:val="000000"/>
                <w:sz w:val="22"/>
                <w:szCs w:val="22"/>
              </w:rPr>
              <w:t>Can this component operate within the CMGF four-tier authority classification without creating authority conflation?</w:t>
            </w:r>
          </w:p>
        </w:tc>
      </w:tr>
      <w:tr w:rsidR="00826935" w14:paraId="35639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527BE" w14:textId="77777777" w:rsidR="00826935" w:rsidRDefault="00000000">
            <w:r>
              <w:rPr>
                <w:color w:val="000000"/>
                <w:sz w:val="22"/>
                <w:szCs w:val="22"/>
              </w:rPr>
              <w:t>Implementation Independence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2A653" w14:textId="77777777" w:rsidR="00826935" w:rsidRDefault="00000000">
            <w:r>
              <w:rPr>
                <w:color w:val="000000"/>
                <w:sz w:val="22"/>
                <w:szCs w:val="22"/>
              </w:rPr>
              <w:t>Can CMGF function without this component, and can this component be added later without requiring architectural redesign?</w:t>
            </w:r>
          </w:p>
        </w:tc>
      </w:tr>
      <w:tr w:rsidR="00826935" w14:paraId="0B2396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2C539" w14:textId="77777777" w:rsidR="00826935" w:rsidRDefault="00000000">
            <w:r>
              <w:rPr>
                <w:color w:val="000000"/>
                <w:sz w:val="22"/>
                <w:szCs w:val="22"/>
              </w:rPr>
              <w:t>Capstone Scope Appropriateness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4F04E" w14:textId="77777777" w:rsidR="00826935" w:rsidRDefault="00000000">
            <w:r>
              <w:rPr>
                <w:color w:val="000000"/>
                <w:sz w:val="22"/>
                <w:szCs w:val="22"/>
              </w:rPr>
              <w:t>Is this component within the reasonable scope of a Master’s capstone in AI and Data Analytics?</w:t>
            </w:r>
          </w:p>
        </w:tc>
      </w:tr>
    </w:tbl>
    <w:p w14:paraId="6F54BF72" w14:textId="77777777" w:rsidR="00826935" w:rsidRDefault="00826935">
      <w:pPr>
        <w:spacing w:after="160"/>
      </w:pPr>
    </w:p>
    <w:p w14:paraId="21417925" w14:textId="77777777" w:rsidR="00826935" w:rsidRDefault="00000000">
      <w:pPr>
        <w:spacing w:after="160"/>
      </w:pPr>
      <w:r>
        <w:t xml:space="preserve">All three deferred components failed the Governance Maturity criterion and the Capstone Scope Appropriateness criterion. All three passed the Implementation Independence criterion, confirming that CMGF’s architecture accommodates future integration without </w:t>
      </w:r>
      <w:proofErr w:type="gramStart"/>
      <w:r>
        <w:t>redesign</w:t>
      </w:r>
      <w:proofErr w:type="gramEnd"/>
      <w:r>
        <w:t>.</w:t>
      </w:r>
    </w:p>
    <w:p w14:paraId="67D13650" w14:textId="77777777" w:rsidR="00826935" w:rsidRDefault="00000000">
      <w:r>
        <w:lastRenderedPageBreak/>
        <w:br w:type="page"/>
      </w:r>
    </w:p>
    <w:p w14:paraId="601D8BE7" w14:textId="77777777" w:rsidR="00826935" w:rsidRDefault="00000000">
      <w:pPr>
        <w:pStyle w:val="Heading1"/>
        <w:spacing w:after="120"/>
      </w:pPr>
      <w:r>
        <w:lastRenderedPageBreak/>
        <w:t>Component 1: Sovereign Credential Ledger</w:t>
      </w:r>
    </w:p>
    <w:p w14:paraId="688D0BE2" w14:textId="77777777" w:rsidR="00826935" w:rsidRDefault="00000000">
      <w:pPr>
        <w:pStyle w:val="Heading2"/>
      </w:pPr>
      <w:r>
        <w:t>Problem Statement</w:t>
      </w:r>
    </w:p>
    <w:p w14:paraId="060DDDAF" w14:textId="77777777" w:rsidR="00826935" w:rsidRDefault="00000000">
      <w:pPr>
        <w:spacing w:after="160"/>
      </w:pPr>
      <w:r>
        <w:t>Military service members accumulate credentials across multiple independent systems: military training records (maintained by service-specific personnel systems), standardized test scores (CLEP, DSST, administered by third-party testing organizations), civilian transcripts (held by individual institutions), professional certifications (issued by private credentialing bodies), and ACE credit recommendations (advisory, non-binding evaluations). No unified, portable, service-member-controlled record exists that aggregates these credentials with verifiable provenance.</w:t>
      </w:r>
    </w:p>
    <w:p w14:paraId="5CFE2A5C" w14:textId="77777777" w:rsidR="00826935" w:rsidRDefault="00000000">
      <w:pPr>
        <w:spacing w:after="160"/>
      </w:pPr>
      <w:r>
        <w:t xml:space="preserve">This fragmentation means that every time a service member </w:t>
      </w:r>
      <w:proofErr w:type="gramStart"/>
      <w:r>
        <w:t>engages</w:t>
      </w:r>
      <w:proofErr w:type="gramEnd"/>
      <w:r>
        <w:t xml:space="preserve"> a new institution, employer, or advising system, credential verification starts from scratch. Documents are re-requested, re-evaluated, and re-interpreted. The cost is measured in time, lost credit, and inconsistent treatment across institutions.</w:t>
      </w:r>
    </w:p>
    <w:p w14:paraId="1DABF692" w14:textId="77777777" w:rsidR="00826935" w:rsidRDefault="00000000">
      <w:pPr>
        <w:pStyle w:val="Heading2"/>
      </w:pPr>
      <w:r>
        <w:t>Proposed Architecture</w:t>
      </w:r>
    </w:p>
    <w:p w14:paraId="691F0F23" w14:textId="77777777" w:rsidR="00826935" w:rsidRDefault="00000000">
      <w:pPr>
        <w:spacing w:after="160"/>
      </w:pPr>
      <w:r>
        <w:t>A Sovereign Credential Ledger would provide each service member with a portable, cryptographically verifiable digital wallet containing immutable records of all earned credentials. The ledger would operate on distributed ledger technology (DLT) principles, though the specific implementation (public blockchain, permissioned ledger, or hybrid) would be determined by governance requirements.</w:t>
      </w:r>
    </w:p>
    <w:p w14:paraId="67949238" w14:textId="77777777" w:rsidR="00826935" w:rsidRDefault="00000000">
      <w:pPr>
        <w:spacing w:after="160"/>
      </w:pPr>
      <w:r>
        <w:t>Core design properties:</w:t>
      </w:r>
    </w:p>
    <w:p w14:paraId="49BA6CBF" w14:textId="77777777" w:rsidR="00826935" w:rsidRDefault="00000000">
      <w:pPr>
        <w:pStyle w:val="ListParagraph"/>
        <w:numPr>
          <w:ilvl w:val="0"/>
          <w:numId w:val="2"/>
        </w:numPr>
        <w:spacing w:after="80"/>
      </w:pPr>
      <w:r>
        <w:rPr>
          <w:b/>
          <w:bCs/>
        </w:rPr>
        <w:t xml:space="preserve">Service-Member Sovereignty: </w:t>
      </w:r>
      <w:r>
        <w:t>The service member controls access to their credential record. No institution, agency, or system can view or modify the record without explicit, revocable consent.</w:t>
      </w:r>
    </w:p>
    <w:p w14:paraId="0FEAC5A3" w14:textId="77777777" w:rsidR="00826935" w:rsidRDefault="00000000">
      <w:pPr>
        <w:pStyle w:val="ListParagraph"/>
        <w:numPr>
          <w:ilvl w:val="0"/>
          <w:numId w:val="2"/>
        </w:numPr>
        <w:spacing w:after="80"/>
      </w:pPr>
      <w:r>
        <w:rPr>
          <w:b/>
          <w:bCs/>
        </w:rPr>
        <w:t xml:space="preserve">Immutable Provenance: </w:t>
      </w:r>
      <w:r>
        <w:t>Each credential entry includes the issuing authority, date of issuance, scope of validity, and a cryptographic hash linking to the source record. Entries cannot be altered retroactively.</w:t>
      </w:r>
    </w:p>
    <w:p w14:paraId="3CACC76C" w14:textId="77777777" w:rsidR="00826935" w:rsidRDefault="00000000">
      <w:pPr>
        <w:pStyle w:val="ListParagraph"/>
        <w:numPr>
          <w:ilvl w:val="0"/>
          <w:numId w:val="2"/>
        </w:numPr>
        <w:spacing w:after="80"/>
      </w:pPr>
      <w:r>
        <w:rPr>
          <w:b/>
          <w:bCs/>
        </w:rPr>
        <w:t xml:space="preserve">Authority Tagging at Source: </w:t>
      </w:r>
      <w:r>
        <w:t>Each credential entry is tagged with its CMGF authority tier (A, B, C, or D) at the point of issuance, enabling downstream systems to evaluate authority strength without re-adjudicating provenance.</w:t>
      </w:r>
    </w:p>
    <w:p w14:paraId="4B6B3F78" w14:textId="77777777" w:rsidR="00826935" w:rsidRDefault="00000000">
      <w:pPr>
        <w:pStyle w:val="ListParagraph"/>
        <w:numPr>
          <w:ilvl w:val="0"/>
          <w:numId w:val="2"/>
        </w:numPr>
        <w:spacing w:after="80"/>
      </w:pPr>
      <w:r>
        <w:rPr>
          <w:b/>
          <w:bCs/>
        </w:rPr>
        <w:t xml:space="preserve">Selective Disclosure: </w:t>
      </w:r>
      <w:r>
        <w:t>Service members can share specific credential subsets with specific institutions or systems without exposing their complete record, preserving privacy while enabling verification.</w:t>
      </w:r>
    </w:p>
    <w:p w14:paraId="6C6EB223" w14:textId="77777777" w:rsidR="00826935" w:rsidRDefault="00000000">
      <w:pPr>
        <w:pStyle w:val="ListParagraph"/>
        <w:numPr>
          <w:ilvl w:val="0"/>
          <w:numId w:val="2"/>
        </w:numPr>
        <w:spacing w:after="80"/>
      </w:pPr>
      <w:r>
        <w:rPr>
          <w:b/>
          <w:bCs/>
        </w:rPr>
        <w:t xml:space="preserve">Revocation and Expiration: </w:t>
      </w:r>
      <w:r>
        <w:t>Credentials that expire (certifications with renewal requirements) or are revoked (institutional sanctions) are flagged in the ledger without deleting the original issuance record, maintaining auditability.</w:t>
      </w:r>
    </w:p>
    <w:p w14:paraId="6DB4D6DB" w14:textId="77777777" w:rsidR="00826935" w:rsidRDefault="00000000">
      <w:pPr>
        <w:pStyle w:val="Heading2"/>
      </w:pPr>
      <w:r>
        <w:t>Integration with CMGF Architecture</w:t>
      </w:r>
    </w:p>
    <w:p w14:paraId="4DA3905C" w14:textId="77777777" w:rsidR="00826935" w:rsidRDefault="00000000">
      <w:pPr>
        <w:spacing w:after="160"/>
      </w:pPr>
      <w:r>
        <w:t>The Sovereign Credential Ledger would integrate with the CMGF twelve-layer architecture at two specific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6935" w14:paraId="2BE72D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E5FC8E" w14:textId="77777777" w:rsidR="00826935" w:rsidRDefault="00000000">
            <w:r>
              <w:rPr>
                <w:b/>
                <w:bCs/>
                <w:color w:val="FFFFFF"/>
                <w:sz w:val="22"/>
                <w:szCs w:val="22"/>
              </w:rPr>
              <w:lastRenderedPageBreak/>
              <w:t>Integration Point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1692FB" w14:textId="77777777" w:rsidR="00826935" w:rsidRDefault="00000000">
            <w:r>
              <w:rPr>
                <w:b/>
                <w:bCs/>
                <w:color w:val="FFFFFF"/>
                <w:sz w:val="22"/>
                <w:szCs w:val="22"/>
              </w:rPr>
              <w:t>CMGF Layer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114DEC" w14:textId="77777777" w:rsidR="00826935" w:rsidRDefault="00000000">
            <w:r>
              <w:rPr>
                <w:b/>
                <w:bCs/>
                <w:color w:val="FFFFFF"/>
                <w:sz w:val="22"/>
                <w:szCs w:val="22"/>
              </w:rPr>
              <w:t>Function</w:t>
            </w:r>
          </w:p>
        </w:tc>
      </w:tr>
      <w:tr w:rsidR="00826935" w14:paraId="68F691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82F27" w14:textId="77777777" w:rsidR="00826935" w:rsidRDefault="00000000">
            <w:r>
              <w:rPr>
                <w:color w:val="000000"/>
                <w:sz w:val="22"/>
                <w:szCs w:val="22"/>
              </w:rPr>
              <w:t>Data Input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5C66E" w14:textId="77777777" w:rsidR="00826935" w:rsidRDefault="00000000">
            <w:r>
              <w:rPr>
                <w:color w:val="000000"/>
                <w:sz w:val="22"/>
                <w:szCs w:val="22"/>
              </w:rPr>
              <w:t>Layer 4: Credential Registry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A4CF2" w14:textId="77777777" w:rsidR="00826935" w:rsidRDefault="00000000">
            <w:r>
              <w:rPr>
                <w:color w:val="000000"/>
                <w:sz w:val="22"/>
                <w:szCs w:val="22"/>
              </w:rPr>
              <w:t>The ledger serves as a high-confidence data source for the Credential Registry Layer, replacing or supplementing manual transcript submission with cryptographically verified credential records.</w:t>
            </w:r>
          </w:p>
        </w:tc>
      </w:tr>
      <w:tr w:rsidR="00826935" w14:paraId="527928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3987E" w14:textId="77777777" w:rsidR="00826935" w:rsidRDefault="00000000">
            <w:r>
              <w:rPr>
                <w:color w:val="000000"/>
                <w:sz w:val="22"/>
                <w:szCs w:val="22"/>
              </w:rPr>
              <w:t>Session Context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DEF58" w14:textId="77777777" w:rsidR="00826935" w:rsidRDefault="00000000">
            <w:r>
              <w:rPr>
                <w:color w:val="000000"/>
                <w:sz w:val="22"/>
                <w:szCs w:val="22"/>
              </w:rPr>
              <w:t>Layer 5: Learner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3C714" w14:textId="77777777" w:rsidR="00826935" w:rsidRDefault="00000000">
            <w:r>
              <w:rPr>
                <w:color w:val="000000"/>
                <w:sz w:val="22"/>
                <w:szCs w:val="22"/>
              </w:rPr>
              <w:t>When a service member initiates a CMGF advising session, they can authorize the binding layer to read specific credential subsets from their ledger. This authorization is session-scoped and does not create persistent access.</w:t>
            </w:r>
          </w:p>
        </w:tc>
      </w:tr>
    </w:tbl>
    <w:p w14:paraId="0D0ECA1D" w14:textId="77777777" w:rsidR="00826935" w:rsidRDefault="00826935">
      <w:pPr>
        <w:spacing w:after="160"/>
      </w:pPr>
    </w:p>
    <w:p w14:paraId="0B6C68D8" w14:textId="77777777" w:rsidR="00826935" w:rsidRDefault="00000000">
      <w:pPr>
        <w:spacing w:after="160"/>
      </w:pPr>
      <w:r>
        <w:t>Critically, the ledger does not alter the binding layer’s governance constraints. The Constraint Binding Engine (Layer 7) continues to apply deterministic logic to whatever credential data it receives. The ledger improves input data quality and confidence without changing how that data is processed.</w:t>
      </w:r>
    </w:p>
    <w:p w14:paraId="58FEE3AF" w14:textId="77777777" w:rsidR="00826935" w:rsidRDefault="00000000">
      <w:pPr>
        <w:pStyle w:val="Heading2"/>
      </w:pPr>
      <w:r>
        <w:t>Rationale for Deferral</w:t>
      </w:r>
    </w:p>
    <w:p w14:paraId="457199C6" w14:textId="77777777" w:rsidR="00826935" w:rsidRDefault="00000000">
      <w:pPr>
        <w:spacing w:after="160"/>
      </w:pPr>
      <w:r>
        <w:t>The Sovereign Credential Ledger was deferred for the following reasons:</w:t>
      </w:r>
    </w:p>
    <w:p w14:paraId="32251BAB" w14:textId="77777777" w:rsidR="00826935" w:rsidRDefault="00000000">
      <w:pPr>
        <w:pStyle w:val="ListParagraph"/>
        <w:numPr>
          <w:ilvl w:val="0"/>
          <w:numId w:val="2"/>
        </w:numPr>
        <w:spacing w:after="80"/>
      </w:pPr>
      <w:r>
        <w:rPr>
          <w:b/>
          <w:bCs/>
        </w:rPr>
        <w:t xml:space="preserve">Governance Infrastructure Does Not Yet Exist: </w:t>
      </w:r>
      <w:r>
        <w:t>No federal or DoD governance body currently has mandate to authorize, oversee, or certify a distributed credential ledger for military training records. Implementation would require new interagency agreements, data governance protocols, and accreditation relationships that are beyond the authority of any single institution.</w:t>
      </w:r>
    </w:p>
    <w:p w14:paraId="54A347AF" w14:textId="77777777" w:rsidR="00826935" w:rsidRDefault="00000000">
      <w:pPr>
        <w:pStyle w:val="ListParagraph"/>
        <w:numPr>
          <w:ilvl w:val="0"/>
          <w:numId w:val="2"/>
        </w:numPr>
        <w:spacing w:after="80"/>
      </w:pPr>
      <w:r>
        <w:rPr>
          <w:b/>
          <w:bCs/>
        </w:rPr>
        <w:t xml:space="preserve">Institutional Adoption Is Uncertain: </w:t>
      </w:r>
      <w:r>
        <w:t>A credential ledger has value only if receiving institutions accept it as an authoritative input. Absent widespread institutional agreement to treat ledger-verified credentials as Tier B or Tier C authoritative sources, the ledger becomes another data feed requiring manual re-evaluation at each transfer point, which is the problem it is intended to solve.</w:t>
      </w:r>
    </w:p>
    <w:p w14:paraId="1701F93E" w14:textId="77777777" w:rsidR="00826935" w:rsidRDefault="00000000">
      <w:pPr>
        <w:pStyle w:val="ListParagraph"/>
        <w:numPr>
          <w:ilvl w:val="0"/>
          <w:numId w:val="2"/>
        </w:numPr>
        <w:spacing w:after="80"/>
      </w:pPr>
      <w:r>
        <w:rPr>
          <w:b/>
          <w:bCs/>
        </w:rPr>
        <w:t xml:space="preserve">Technology Maturity Is Insufficient for Governance-Critical Systems: </w:t>
      </w:r>
      <w:r>
        <w:t>While DLT technology is functional for certain commercial applications, its use in high-impact public-sector systems affecting federal benefits and credential recognition requires demonstrated reliability, scalability, and interoperability standards that are not yet established for this domain.</w:t>
      </w:r>
    </w:p>
    <w:p w14:paraId="41C36BE2" w14:textId="77777777" w:rsidR="00826935" w:rsidRDefault="00000000">
      <w:pPr>
        <w:pStyle w:val="ListParagraph"/>
        <w:numPr>
          <w:ilvl w:val="0"/>
          <w:numId w:val="2"/>
        </w:numPr>
        <w:spacing w:after="80"/>
      </w:pPr>
      <w:r>
        <w:rPr>
          <w:b/>
          <w:bCs/>
        </w:rPr>
        <w:t xml:space="preserve">CMGF Operates Without It: </w:t>
      </w:r>
      <w:r>
        <w:t>The binding layer functions with existing data sources. The ledger is an upstream enhancement, not a prerequisite. Deferral does not degrade CMGF’s current functionality.</w:t>
      </w:r>
    </w:p>
    <w:p w14:paraId="010E84F6" w14:textId="77777777" w:rsidR="00826935" w:rsidRDefault="00000000">
      <w:pPr>
        <w:pStyle w:val="Heading2"/>
      </w:pPr>
      <w:r>
        <w:lastRenderedPageBreak/>
        <w:t>Conditions for Future Development</w:t>
      </w:r>
    </w:p>
    <w:p w14:paraId="250F8C43" w14:textId="77777777" w:rsidR="00826935" w:rsidRDefault="00000000">
      <w:pPr>
        <w:spacing w:after="160"/>
      </w:pPr>
      <w:r>
        <w:t>Development of the Sovereign Credential Ledger should be considered when:</w:t>
      </w:r>
    </w:p>
    <w:p w14:paraId="6084B756" w14:textId="77777777" w:rsidR="00826935" w:rsidRDefault="00000000">
      <w:pPr>
        <w:pStyle w:val="ListParagraph"/>
        <w:numPr>
          <w:ilvl w:val="0"/>
          <w:numId w:val="2"/>
        </w:numPr>
        <w:spacing w:after="80"/>
      </w:pPr>
      <w:r>
        <w:t>A federal or DoD governance body assumes stewardship authority for military credential provenance infrastructure.</w:t>
      </w:r>
    </w:p>
    <w:p w14:paraId="5E7A5125" w14:textId="77777777" w:rsidR="00826935" w:rsidRDefault="00000000">
      <w:pPr>
        <w:pStyle w:val="ListParagraph"/>
        <w:numPr>
          <w:ilvl w:val="0"/>
          <w:numId w:val="2"/>
        </w:numPr>
        <w:spacing w:after="80"/>
      </w:pPr>
      <w:r>
        <w:t>Pilot agreements with receiving institutions confirm willingness to accept ledger-verified credentials without redundant manual evaluation.</w:t>
      </w:r>
    </w:p>
    <w:p w14:paraId="1587D402" w14:textId="77777777" w:rsidR="00826935" w:rsidRDefault="00000000">
      <w:pPr>
        <w:pStyle w:val="ListParagraph"/>
        <w:numPr>
          <w:ilvl w:val="0"/>
          <w:numId w:val="2"/>
        </w:numPr>
        <w:spacing w:after="80"/>
      </w:pPr>
      <w:r>
        <w:t>Interoperability standards for credential data exchange between DLT systems and institutional student information systems are published and tested.</w:t>
      </w:r>
    </w:p>
    <w:p w14:paraId="16DD02DB" w14:textId="77777777" w:rsidR="00826935" w:rsidRDefault="00000000">
      <w:pPr>
        <w:pStyle w:val="ListParagraph"/>
        <w:numPr>
          <w:ilvl w:val="0"/>
          <w:numId w:val="2"/>
        </w:numPr>
        <w:spacing w:after="80"/>
      </w:pPr>
      <w:r>
        <w:t>Privacy impact assessments confirm that selective disclosure mechanisms meet federal requirements for personally identifiable information protection.</w:t>
      </w:r>
    </w:p>
    <w:p w14:paraId="37C352E4" w14:textId="77777777" w:rsidR="00826935" w:rsidRDefault="00000000">
      <w:r>
        <w:br w:type="page"/>
      </w:r>
    </w:p>
    <w:p w14:paraId="5B4FCBAB" w14:textId="77777777" w:rsidR="00826935" w:rsidRDefault="00000000">
      <w:pPr>
        <w:pStyle w:val="Heading1"/>
        <w:spacing w:after="120"/>
      </w:pPr>
      <w:r>
        <w:lastRenderedPageBreak/>
        <w:t>Component 2: Credit Clearing House Partnership</w:t>
      </w:r>
    </w:p>
    <w:p w14:paraId="1F454CF8" w14:textId="77777777" w:rsidR="00826935" w:rsidRDefault="00000000">
      <w:pPr>
        <w:pStyle w:val="Heading2"/>
      </w:pPr>
      <w:r>
        <w:t>Problem Statement</w:t>
      </w:r>
    </w:p>
    <w:p w14:paraId="40A68482" w14:textId="77777777" w:rsidR="00826935" w:rsidRDefault="00000000">
      <w:pPr>
        <w:spacing w:after="160"/>
      </w:pPr>
      <w:r>
        <w:t xml:space="preserve">The American Council on Education (ACE) evaluates military training courses and recommends academic credit equivalencies. These recommendations are widely referenced but are advisory, not binding. The actual awarding of credit remains the sole authority of the receiving institution. This creates the recommendation-to-award gap: a service member may have ACE-evaluated military training that maps to substantial academic </w:t>
      </w:r>
      <w:proofErr w:type="gramStart"/>
      <w:r>
        <w:t>credit, yet</w:t>
      </w:r>
      <w:proofErr w:type="gramEnd"/>
      <w:r>
        <w:t xml:space="preserve"> discover upon enrollment that the receiving institution accepts only a fraction based on local faculty interpretation, departmental policy, or programmatic accreditation constraints.</w:t>
      </w:r>
    </w:p>
    <w:p w14:paraId="4F3654D4" w14:textId="77777777" w:rsidR="00826935" w:rsidRDefault="00000000">
      <w:pPr>
        <w:spacing w:after="160"/>
      </w:pPr>
      <w:r>
        <w:t xml:space="preserve">Within the CMGF four-tier authority classification, ACE recommendations occupy Tier B (Credentialing Authority, conditional). They carry significant professional weight but do not </w:t>
      </w:r>
      <w:proofErr w:type="gramStart"/>
      <w:r>
        <w:t>constitute awarded</w:t>
      </w:r>
      <w:proofErr w:type="gramEnd"/>
      <w:r>
        <w:t xml:space="preserve"> academic credit. The gap between Tier B recommendation and Tier C institutional award is one of the most persistent friction points in military credential portability, directly contributing to the planning friction that CMGF is designed to surface.</w:t>
      </w:r>
    </w:p>
    <w:p w14:paraId="72612E8A" w14:textId="77777777" w:rsidR="00826935" w:rsidRDefault="00000000">
      <w:pPr>
        <w:pStyle w:val="Heading2"/>
      </w:pPr>
      <w:r>
        <w:t>Proposed Architecture</w:t>
      </w:r>
    </w:p>
    <w:p w14:paraId="1543690F" w14:textId="77777777" w:rsidR="00826935" w:rsidRDefault="00000000">
      <w:pPr>
        <w:spacing w:after="160"/>
      </w:pPr>
      <w:r>
        <w:t xml:space="preserve">A Credit Clearing House would function as an accredited institution that partners with ACE to convert military credit recommendations into </w:t>
      </w:r>
      <w:proofErr w:type="gramStart"/>
      <w:r>
        <w:t>formally awarded,</w:t>
      </w:r>
      <w:proofErr w:type="gramEnd"/>
      <w:r>
        <w:t xml:space="preserve"> transcript-bearing academic credit. The model draws on historical precedent: Excelsior College (formerly Regents College of the University of the State of New York) has historically served a similar function, providing a degree-granting institution that formally awards credit for non-traditional learning, including military training evaluated by ACE.</w:t>
      </w:r>
    </w:p>
    <w:p w14:paraId="562220EA" w14:textId="77777777" w:rsidR="00826935" w:rsidRDefault="00000000">
      <w:pPr>
        <w:spacing w:after="160"/>
      </w:pPr>
      <w:r>
        <w:t>The proposed Credit Clearing House would:</w:t>
      </w:r>
    </w:p>
    <w:p w14:paraId="7655A13F" w14:textId="77777777" w:rsidR="00826935" w:rsidRDefault="00000000">
      <w:pPr>
        <w:pStyle w:val="ListParagraph"/>
        <w:numPr>
          <w:ilvl w:val="0"/>
          <w:numId w:val="2"/>
        </w:numPr>
        <w:spacing w:after="80"/>
      </w:pPr>
      <w:r>
        <w:rPr>
          <w:b/>
          <w:bCs/>
        </w:rPr>
        <w:t xml:space="preserve">Accept ACE Recommendations as Basis for Credit Award: </w:t>
      </w:r>
      <w:r>
        <w:t>Where ACE has evaluated military training and recommended specific credit equivalencies, the Clearing House would formally award that credit on an accredited institutional transcript.</w:t>
      </w:r>
    </w:p>
    <w:p w14:paraId="4E17F1D6" w14:textId="77777777" w:rsidR="00826935" w:rsidRDefault="00000000">
      <w:pPr>
        <w:pStyle w:val="ListParagraph"/>
        <w:numPr>
          <w:ilvl w:val="0"/>
          <w:numId w:val="2"/>
        </w:numPr>
        <w:spacing w:after="80"/>
      </w:pPr>
      <w:r>
        <w:rPr>
          <w:b/>
          <w:bCs/>
        </w:rPr>
        <w:t xml:space="preserve">Maintain Accreditation: </w:t>
      </w:r>
      <w:r>
        <w:t xml:space="preserve">The Clearing House </w:t>
      </w:r>
      <w:proofErr w:type="gramStart"/>
      <w:r>
        <w:t>would hold</w:t>
      </w:r>
      <w:proofErr w:type="gramEnd"/>
      <w:r>
        <w:t xml:space="preserve"> regional accreditation, ensuring that awarded credits are broadly </w:t>
      </w:r>
      <w:proofErr w:type="gramStart"/>
      <w:r>
        <w:t>transferable</w:t>
      </w:r>
      <w:proofErr w:type="gramEnd"/>
      <w:r>
        <w:t xml:space="preserve"> under existing articulation norms.</w:t>
      </w:r>
    </w:p>
    <w:p w14:paraId="07A573A4" w14:textId="77777777" w:rsidR="00826935" w:rsidRDefault="00000000">
      <w:pPr>
        <w:pStyle w:val="ListParagraph"/>
        <w:numPr>
          <w:ilvl w:val="0"/>
          <w:numId w:val="2"/>
        </w:numPr>
        <w:spacing w:after="80"/>
      </w:pPr>
      <w:r>
        <w:rPr>
          <w:b/>
          <w:bCs/>
        </w:rPr>
        <w:t xml:space="preserve">Issue Transcripts: </w:t>
      </w:r>
      <w:r>
        <w:t>Service members would receive a formal academic transcript from the Clearing House, converting advisory recommendations into Tier C institutional authority that receiving institutions can evaluate through standard transfer processes.</w:t>
      </w:r>
    </w:p>
    <w:p w14:paraId="71520655" w14:textId="77777777" w:rsidR="00826935" w:rsidRDefault="00000000">
      <w:pPr>
        <w:pStyle w:val="ListParagraph"/>
        <w:numPr>
          <w:ilvl w:val="0"/>
          <w:numId w:val="2"/>
        </w:numPr>
        <w:spacing w:after="80"/>
      </w:pPr>
      <w:r>
        <w:rPr>
          <w:b/>
          <w:bCs/>
        </w:rPr>
        <w:t xml:space="preserve">Operate Under Governance Agreements: </w:t>
      </w:r>
      <w:r>
        <w:t>The Clearing House would operate under formal agreements with ACE, participating institutions, and federal oversight bodies specifying the scope of credit award authority, quality assurance mechanisms, and dispute resolution procedures.</w:t>
      </w:r>
    </w:p>
    <w:p w14:paraId="72C9EE13" w14:textId="77777777" w:rsidR="00826935" w:rsidRDefault="00000000">
      <w:pPr>
        <w:pStyle w:val="Heading2"/>
      </w:pPr>
      <w:r>
        <w:t>Integration with CMGF Architecture</w:t>
      </w:r>
    </w:p>
    <w:p w14:paraId="47BF5134" w14:textId="77777777" w:rsidR="00826935" w:rsidRDefault="00000000">
      <w:pPr>
        <w:spacing w:after="160"/>
      </w:pPr>
      <w:r>
        <w:lastRenderedPageBreak/>
        <w:t>The Credit Clearing House would integrate with CMGF as a new authoritative source in Zone 1 (External Authoritative Sources) of the system boundary definition. Specifically:</w:t>
      </w:r>
    </w:p>
    <w:p w14:paraId="119B0CF0" w14:textId="77777777" w:rsidR="00826935" w:rsidRDefault="00000000">
      <w:pPr>
        <w:pStyle w:val="ListParagraph"/>
        <w:numPr>
          <w:ilvl w:val="0"/>
          <w:numId w:val="2"/>
        </w:numPr>
        <w:spacing w:after="80"/>
      </w:pPr>
      <w:r>
        <w:rPr>
          <w:b/>
          <w:bCs/>
        </w:rPr>
        <w:t xml:space="preserve">Layer 1 (Statutory Authority): </w:t>
      </w:r>
      <w:r>
        <w:t>If federal legislation or regulation authorizes or recognizes the Clearing House function, that authorization enters the rule base as a Tier A constraint.</w:t>
      </w:r>
    </w:p>
    <w:p w14:paraId="044C0CE3" w14:textId="77777777" w:rsidR="00826935" w:rsidRDefault="00000000">
      <w:pPr>
        <w:pStyle w:val="ListParagraph"/>
        <w:numPr>
          <w:ilvl w:val="0"/>
          <w:numId w:val="2"/>
        </w:numPr>
        <w:spacing w:after="80"/>
      </w:pPr>
      <w:r>
        <w:rPr>
          <w:b/>
          <w:bCs/>
        </w:rPr>
        <w:t xml:space="preserve">Layer 2 (Credentialing Standards): </w:t>
      </w:r>
      <w:r>
        <w:t>The Clearing House’s accreditation status and credit award policies enter as Tier B constraints, subject to the same encoding, tagging, and governance controls as any other credentialing authority.</w:t>
      </w:r>
    </w:p>
    <w:p w14:paraId="74970EB1" w14:textId="77777777" w:rsidR="00826935" w:rsidRDefault="00000000">
      <w:pPr>
        <w:pStyle w:val="ListParagraph"/>
        <w:numPr>
          <w:ilvl w:val="0"/>
          <w:numId w:val="2"/>
        </w:numPr>
        <w:spacing w:after="80"/>
      </w:pPr>
      <w:r>
        <w:rPr>
          <w:b/>
          <w:bCs/>
        </w:rPr>
        <w:t xml:space="preserve">Layer 4 (Credential Registry): </w:t>
      </w:r>
      <w:r>
        <w:t>Clearing House transcripts enter the Credential Registry as Tier C institutional records with verified provenance, higher in authority confidence than unawarded ACE recommendations alone.</w:t>
      </w:r>
    </w:p>
    <w:p w14:paraId="621B9F46" w14:textId="77777777" w:rsidR="00826935" w:rsidRDefault="00000000">
      <w:pPr>
        <w:pStyle w:val="ListParagraph"/>
        <w:numPr>
          <w:ilvl w:val="0"/>
          <w:numId w:val="2"/>
        </w:numPr>
        <w:spacing w:after="80"/>
      </w:pPr>
      <w:r>
        <w:rPr>
          <w:b/>
          <w:bCs/>
        </w:rPr>
        <w:t xml:space="preserve">Layer 7 (Constraint Binding Engine): </w:t>
      </w:r>
      <w:r>
        <w:t>The binding engine can now evaluate Clearing House-awarded credits against receiving institution transfer policies with greater determinism, because the input has moved from advisory (Tier B) to institutionally awarded (Tier C).</w:t>
      </w:r>
    </w:p>
    <w:p w14:paraId="58BA2DC0" w14:textId="77777777" w:rsidR="00826935" w:rsidRDefault="00000000">
      <w:pPr>
        <w:spacing w:after="160"/>
      </w:pPr>
      <w:r>
        <w:t>The effect on the binding layer is that feasibility signals become more deterministic. Where CMGF currently must flag ACE-recommended credit as conditionally transferable (because award depends on receiving institution discretion), Clearing House-awarded credit enables more definitive constraint evaluation. The number of Conditional signals decreases; the number of Go and No-Go signals increases. Planning friction attributable to the recommendation-to-award gap is reduced.</w:t>
      </w:r>
    </w:p>
    <w:p w14:paraId="7979F91C" w14:textId="77777777" w:rsidR="00826935" w:rsidRDefault="00000000">
      <w:pPr>
        <w:pStyle w:val="Heading2"/>
      </w:pPr>
      <w:r>
        <w:t>Rationale for Deferral</w:t>
      </w:r>
    </w:p>
    <w:p w14:paraId="5756A99F" w14:textId="77777777" w:rsidR="00826935" w:rsidRDefault="00000000">
      <w:pPr>
        <w:pStyle w:val="ListParagraph"/>
        <w:numPr>
          <w:ilvl w:val="0"/>
          <w:numId w:val="2"/>
        </w:numPr>
        <w:spacing w:after="80"/>
      </w:pPr>
      <w:r>
        <w:rPr>
          <w:b/>
          <w:bCs/>
        </w:rPr>
        <w:t xml:space="preserve">Accreditation Governance Is Required: </w:t>
      </w:r>
      <w:r>
        <w:t>Establishing a new credit-awarding institution or expanding an existing institution’s mandate to serve as a military credit Clearing House requires accreditation approval, which is a multi-year process involving regional accrediting bodies.</w:t>
      </w:r>
    </w:p>
    <w:p w14:paraId="32B61BBE" w14:textId="77777777" w:rsidR="00826935" w:rsidRDefault="00000000">
      <w:pPr>
        <w:pStyle w:val="ListParagraph"/>
        <w:numPr>
          <w:ilvl w:val="0"/>
          <w:numId w:val="2"/>
        </w:numPr>
        <w:spacing w:after="80"/>
      </w:pPr>
      <w:r>
        <w:rPr>
          <w:b/>
          <w:bCs/>
        </w:rPr>
        <w:t xml:space="preserve">Institutional Agreements Must Be Negotiated: </w:t>
      </w:r>
      <w:r>
        <w:t xml:space="preserve">The Clearing House model requires formal partnership agreements with ACE, </w:t>
      </w:r>
      <w:proofErr w:type="gramStart"/>
      <w:r>
        <w:t>participating</w:t>
      </w:r>
      <w:proofErr w:type="gramEnd"/>
      <w:r>
        <w:t xml:space="preserve"> military services, and receiving institutions. These agreements define the scope of credit award authority and the terms under which receiving institutions will accept Clearing House transcripts.</w:t>
      </w:r>
    </w:p>
    <w:p w14:paraId="0F531FD8" w14:textId="77777777" w:rsidR="00826935" w:rsidRDefault="00000000">
      <w:pPr>
        <w:pStyle w:val="ListParagraph"/>
        <w:numPr>
          <w:ilvl w:val="0"/>
          <w:numId w:val="2"/>
        </w:numPr>
        <w:spacing w:after="80"/>
      </w:pPr>
      <w:r>
        <w:rPr>
          <w:b/>
          <w:bCs/>
        </w:rPr>
        <w:t xml:space="preserve">Federal Authorization May Be Needed: </w:t>
      </w:r>
      <w:r>
        <w:t>Depending on the scope of the Clearing House function (particularly if it affects GI Bill eligibility or Tuition Assistance funding), federal legislative or regulatory action may be required.</w:t>
      </w:r>
    </w:p>
    <w:p w14:paraId="02F95074" w14:textId="77777777" w:rsidR="00826935" w:rsidRDefault="00000000">
      <w:pPr>
        <w:pStyle w:val="ListParagraph"/>
        <w:numPr>
          <w:ilvl w:val="0"/>
          <w:numId w:val="2"/>
        </w:numPr>
        <w:spacing w:after="80"/>
      </w:pPr>
      <w:r>
        <w:rPr>
          <w:b/>
          <w:bCs/>
        </w:rPr>
        <w:t xml:space="preserve">CMGF Functions Without It: </w:t>
      </w:r>
      <w:r>
        <w:t>The binding layer currently surfaces the recommendation-to-award gap as a visible planning friction, which is itself a useful function. The Clearing House would reduce that friction, but CMGF’s value does not depend on its existence.</w:t>
      </w:r>
    </w:p>
    <w:p w14:paraId="31902159" w14:textId="77777777" w:rsidR="00826935" w:rsidRDefault="00000000">
      <w:pPr>
        <w:pStyle w:val="Heading2"/>
      </w:pPr>
      <w:r>
        <w:t>Conditions for Future Development</w:t>
      </w:r>
    </w:p>
    <w:p w14:paraId="015C1773" w14:textId="77777777" w:rsidR="00826935" w:rsidRDefault="00000000">
      <w:pPr>
        <w:spacing w:after="160"/>
      </w:pPr>
      <w:r>
        <w:t>Development of the Credit Clearing House partnership should be considered when:</w:t>
      </w:r>
    </w:p>
    <w:p w14:paraId="44FC3F2A" w14:textId="77777777" w:rsidR="00826935" w:rsidRDefault="00000000">
      <w:pPr>
        <w:pStyle w:val="ListParagraph"/>
        <w:numPr>
          <w:ilvl w:val="0"/>
          <w:numId w:val="2"/>
        </w:numPr>
        <w:spacing w:after="80"/>
      </w:pPr>
      <w:r>
        <w:lastRenderedPageBreak/>
        <w:t>An accredited institution with existing military education partnerships expresses willingness to serve as (or expand into) a credit Clearing House function.</w:t>
      </w:r>
    </w:p>
    <w:p w14:paraId="1C10046E" w14:textId="77777777" w:rsidR="00826935" w:rsidRDefault="00000000">
      <w:pPr>
        <w:pStyle w:val="ListParagraph"/>
        <w:numPr>
          <w:ilvl w:val="0"/>
          <w:numId w:val="2"/>
        </w:numPr>
        <w:spacing w:after="80"/>
      </w:pPr>
      <w:r>
        <w:t>ACE confirms willingness to enter formal partnership agreements specifying the terms under which its recommendations can be converted to awarded credit.</w:t>
      </w:r>
    </w:p>
    <w:p w14:paraId="2D86AA8E" w14:textId="77777777" w:rsidR="00826935" w:rsidRDefault="00000000">
      <w:pPr>
        <w:pStyle w:val="ListParagraph"/>
        <w:numPr>
          <w:ilvl w:val="0"/>
          <w:numId w:val="2"/>
        </w:numPr>
        <w:spacing w:after="80"/>
      </w:pPr>
      <w:r>
        <w:t>Pilot agreements with a defined set of receiving institutions confirm willingness to accept Clearing House transcripts through standard transfer evaluation processes.</w:t>
      </w:r>
    </w:p>
    <w:p w14:paraId="2249E513" w14:textId="77777777" w:rsidR="00826935" w:rsidRDefault="00000000">
      <w:pPr>
        <w:pStyle w:val="ListParagraph"/>
        <w:numPr>
          <w:ilvl w:val="0"/>
          <w:numId w:val="2"/>
        </w:numPr>
        <w:spacing w:after="80"/>
      </w:pPr>
      <w:r>
        <w:t>Legal review confirms that the Clearing House function does not create conflicts with existing federal education benefit eligibility rules.</w:t>
      </w:r>
    </w:p>
    <w:p w14:paraId="07E5DB6E" w14:textId="77777777" w:rsidR="00826935" w:rsidRDefault="00000000">
      <w:r>
        <w:br w:type="page"/>
      </w:r>
    </w:p>
    <w:p w14:paraId="181FB00E" w14:textId="77777777" w:rsidR="00826935" w:rsidRDefault="00000000">
      <w:pPr>
        <w:pStyle w:val="Heading1"/>
        <w:spacing w:after="120"/>
      </w:pPr>
      <w:r>
        <w:lastRenderedPageBreak/>
        <w:t>Component 3: Session Continuity Architecture</w:t>
      </w:r>
    </w:p>
    <w:p w14:paraId="12B1B931" w14:textId="77777777" w:rsidR="00826935" w:rsidRDefault="00000000">
      <w:pPr>
        <w:pStyle w:val="Heading2"/>
      </w:pPr>
      <w:r>
        <w:t>Problem Statement</w:t>
      </w:r>
    </w:p>
    <w:p w14:paraId="471A57CE" w14:textId="77777777" w:rsidR="00826935" w:rsidRDefault="00000000">
      <w:pPr>
        <w:spacing w:after="160"/>
      </w:pPr>
      <w:r>
        <w:t>CMGF’s current architecture enforces session isolation in Layer 5 (Learner Record Layer): each advising session is self-contained, and no learner data persists across sessions. This design was adopted to prevent cross-session profiling, behavioral tracking, and the creation of persistent individual risk profiles, all of which are architecturally prohibited under CMGF’s governance constraints.</w:t>
      </w:r>
    </w:p>
    <w:p w14:paraId="58A74CDB" w14:textId="77777777" w:rsidR="00826935" w:rsidRDefault="00000000">
      <w:pPr>
        <w:spacing w:after="160"/>
      </w:pPr>
      <w:r>
        <w:t>Session isolation is the correct privacy decision for CMGF’s initial deployment posture. However, it creates a tension with the framework’s own empirical finding that earlier and more sustained planning engagement produces better transition outcomes. If a service member returns to CMGF six months after an initial planning session, the system has no memory of prior interactions. The binding layer cannot surface how constraints have evolved since the last session, cannot identify whether previously flagged conflicts have been resolved, and cannot track whether the service member’s declared intent has shifted over time.</w:t>
      </w:r>
    </w:p>
    <w:p w14:paraId="253C514A" w14:textId="77777777" w:rsidR="00826935" w:rsidRDefault="00000000">
      <w:pPr>
        <w:spacing w:after="160"/>
      </w:pPr>
      <w:r>
        <w:t>This limitation means that temporal constraint evolution is visible only at the population level (through aggregate analytics in the Advising and Approval Module) but not at the individual level. The service member bears the full cognitive burden of maintaining continuity across planning sessions.</w:t>
      </w:r>
    </w:p>
    <w:p w14:paraId="160754A9" w14:textId="77777777" w:rsidR="00826935" w:rsidRDefault="00000000">
      <w:pPr>
        <w:pStyle w:val="Heading2"/>
      </w:pPr>
      <w:r>
        <w:t>Design Tension</w:t>
      </w:r>
    </w:p>
    <w:p w14:paraId="32478387" w14:textId="77777777" w:rsidR="00826935" w:rsidRDefault="00000000">
      <w:pPr>
        <w:spacing w:after="160"/>
      </w:pPr>
      <w:r>
        <w:t>The session continuity challenge is fundamentally a tension between two governance-aligned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6935" w14:paraId="5CA776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8DAB5B" w14:textId="77777777" w:rsidR="00826935" w:rsidRDefault="00000000">
            <w:r>
              <w:rPr>
                <w:b/>
                <w:bCs/>
                <w:color w:val="FFFFFF"/>
                <w:sz w:val="22"/>
                <w:szCs w:val="22"/>
              </w:rPr>
              <w:t>Privacy Protection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F3AFAD" w14:textId="77777777" w:rsidR="00826935" w:rsidRDefault="00000000">
            <w:r>
              <w:rPr>
                <w:b/>
                <w:bCs/>
                <w:color w:val="FFFFFF"/>
                <w:sz w:val="22"/>
                <w:szCs w:val="22"/>
              </w:rPr>
              <w:t>Planning Continuity</w:t>
            </w:r>
          </w:p>
        </w:tc>
      </w:tr>
      <w:tr w:rsidR="00826935" w14:paraId="74DA89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CD578" w14:textId="77777777" w:rsidR="00826935" w:rsidRDefault="00000000">
            <w:r>
              <w:rPr>
                <w:sz w:val="22"/>
                <w:szCs w:val="22"/>
              </w:rPr>
              <w:t>No persistent profiles. No cross-session behavioral tracking. No data available for profiling, scoring, or surveillance. Session data cannot be used to influence career outcomes, retention decisions, or command visibility of individual planning behavior.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61684" w14:textId="77777777" w:rsidR="00826935" w:rsidRDefault="00000000">
            <w:r>
              <w:rPr>
                <w:sz w:val="22"/>
                <w:szCs w:val="22"/>
              </w:rPr>
              <w:t>Service members benefit from temporal awareness: how constraints have changed, which conflicts have been resolved, what new pathways have opened. Longitudinal planning requires some form of state persistence to avoid forcing the member to reconstruct context manually each session.</w:t>
            </w:r>
          </w:p>
        </w:tc>
      </w:tr>
    </w:tbl>
    <w:p w14:paraId="7ECA079A" w14:textId="77777777" w:rsidR="00826935" w:rsidRDefault="00826935">
      <w:pPr>
        <w:spacing w:after="160"/>
      </w:pPr>
    </w:p>
    <w:p w14:paraId="27928D77" w14:textId="77777777" w:rsidR="00826935" w:rsidRDefault="00000000">
      <w:pPr>
        <w:spacing w:after="160"/>
      </w:pPr>
      <w:r>
        <w:t>Resolving this tension requires an architecture that provides temporal awareness without creating surveillance infrastructure. The system must remember constraints without remembering behavior.</w:t>
      </w:r>
    </w:p>
    <w:p w14:paraId="3C49E513" w14:textId="77777777" w:rsidR="00826935" w:rsidRDefault="00000000">
      <w:pPr>
        <w:pStyle w:val="Heading2"/>
      </w:pPr>
      <w:r>
        <w:t>Proposed Architecture: Member-Held Session Tokens</w:t>
      </w:r>
    </w:p>
    <w:p w14:paraId="79E5D161" w14:textId="77777777" w:rsidR="00826935" w:rsidRDefault="00000000">
      <w:pPr>
        <w:spacing w:after="160"/>
      </w:pPr>
      <w:r>
        <w:t>The proposed session continuity architecture places continuity control entirely in the service member’s hands through a member-held session token system. This approach preserves CMGF’s prohibition on persistent server-side learner profiles while enabling temporal awareness.</w:t>
      </w:r>
    </w:p>
    <w:p w14:paraId="009E8162" w14:textId="77777777" w:rsidR="00826935" w:rsidRDefault="00000000">
      <w:pPr>
        <w:spacing w:after="160"/>
      </w:pPr>
      <w:r>
        <w:lastRenderedPageBreak/>
        <w:t>Design properties:</w:t>
      </w:r>
    </w:p>
    <w:p w14:paraId="5BD64BEA" w14:textId="77777777" w:rsidR="00826935" w:rsidRDefault="00000000">
      <w:pPr>
        <w:pStyle w:val="ListParagraph"/>
        <w:numPr>
          <w:ilvl w:val="0"/>
          <w:numId w:val="2"/>
        </w:numPr>
        <w:spacing w:after="80"/>
      </w:pPr>
      <w:r>
        <w:rPr>
          <w:b/>
          <w:bCs/>
        </w:rPr>
        <w:t xml:space="preserve">Member-Controlled Persistence: </w:t>
      </w:r>
      <w:r>
        <w:t>At the end of each advising session, CMGF generates an encrypted session summary token containing the declared constraints, feasibility signals, flagged conflicts, and encoded rule versions applied during that session. This token is provided to the service member as a downloadable file or stored in their Sovereign Credential Ledger (if available).</w:t>
      </w:r>
    </w:p>
    <w:p w14:paraId="472B3C81" w14:textId="77777777" w:rsidR="00826935" w:rsidRDefault="00000000">
      <w:pPr>
        <w:pStyle w:val="ListParagraph"/>
        <w:numPr>
          <w:ilvl w:val="0"/>
          <w:numId w:val="2"/>
        </w:numPr>
        <w:spacing w:after="80"/>
      </w:pPr>
      <w:r>
        <w:rPr>
          <w:b/>
          <w:bCs/>
        </w:rPr>
        <w:t xml:space="preserve">No Server-Side Retention: </w:t>
      </w:r>
      <w:r>
        <w:t>CMGF does not retain the session summary. The system’s session isolation guarantee remains intact. The only copy of the session state exists under the service member’s control.</w:t>
      </w:r>
    </w:p>
    <w:p w14:paraId="60BD06C4" w14:textId="77777777" w:rsidR="00826935" w:rsidRDefault="00000000">
      <w:pPr>
        <w:pStyle w:val="ListParagraph"/>
        <w:numPr>
          <w:ilvl w:val="0"/>
          <w:numId w:val="2"/>
        </w:numPr>
        <w:spacing w:after="80"/>
      </w:pPr>
      <w:r>
        <w:rPr>
          <w:b/>
          <w:bCs/>
        </w:rPr>
        <w:t xml:space="preserve">Voluntary Re-Import: </w:t>
      </w:r>
      <w:r>
        <w:t>When the service member returns for a subsequent session, they may choose to import their prior session token. If imported, CMGF can compare current constraint evaluations against the prior session’s state and surface temporal changes: rules that have been updated, conflicts that have been resolved, new pathways that have become available, or funding caps that have been exhausted.</w:t>
      </w:r>
    </w:p>
    <w:p w14:paraId="4EB9683E" w14:textId="77777777" w:rsidR="00826935" w:rsidRDefault="00000000">
      <w:pPr>
        <w:pStyle w:val="ListParagraph"/>
        <w:numPr>
          <w:ilvl w:val="0"/>
          <w:numId w:val="2"/>
        </w:numPr>
        <w:spacing w:after="80"/>
      </w:pPr>
      <w:r>
        <w:rPr>
          <w:b/>
          <w:bCs/>
        </w:rPr>
        <w:t xml:space="preserve">Differential Constraint Display: </w:t>
      </w:r>
      <w:r>
        <w:t>The binding layer would present a temporal diff view showing what has changed since the prior session. This enables the service member and advisor to focus attention on evolved constraints rather than re-evaluating the entire planning context from scratch.</w:t>
      </w:r>
    </w:p>
    <w:p w14:paraId="39E0E099" w14:textId="77777777" w:rsidR="00826935" w:rsidRDefault="00000000">
      <w:pPr>
        <w:pStyle w:val="ListParagraph"/>
        <w:numPr>
          <w:ilvl w:val="0"/>
          <w:numId w:val="2"/>
        </w:numPr>
        <w:spacing w:after="80"/>
      </w:pPr>
      <w:r>
        <w:rPr>
          <w:b/>
          <w:bCs/>
        </w:rPr>
        <w:t xml:space="preserve">No Behavioral Inference: </w:t>
      </w:r>
      <w:r>
        <w:t>The session token contains constraint states and rule versions, not behavioral data. The system does not track how the member interacted with the interface, what options they explored, or how long they spent on any planning element. It records what the rules said, not what the member did.</w:t>
      </w:r>
    </w:p>
    <w:p w14:paraId="031531C4" w14:textId="77777777" w:rsidR="00826935" w:rsidRDefault="00000000">
      <w:pPr>
        <w:pStyle w:val="ListParagraph"/>
        <w:numPr>
          <w:ilvl w:val="0"/>
          <w:numId w:val="2"/>
        </w:numPr>
        <w:spacing w:after="80"/>
      </w:pPr>
      <w:r>
        <w:rPr>
          <w:b/>
          <w:bCs/>
        </w:rPr>
        <w:t xml:space="preserve">Token Expiration: </w:t>
      </w:r>
      <w:r>
        <w:t xml:space="preserve">Session tokens include a governance-defined expiration period (e.g., 18 months), after which the token is no longer </w:t>
      </w:r>
      <w:proofErr w:type="gramStart"/>
      <w:r>
        <w:t>importable</w:t>
      </w:r>
      <w:proofErr w:type="gramEnd"/>
      <w:r>
        <w:t>. This prevents stale constraint data from producing misleading temporal comparisons.</w:t>
      </w:r>
    </w:p>
    <w:p w14:paraId="5F22DA0F" w14:textId="77777777" w:rsidR="00826935" w:rsidRDefault="00000000">
      <w:pPr>
        <w:pStyle w:val="Heading2"/>
      </w:pPr>
      <w:r>
        <w:t>Integration with CMGF Architecture</w:t>
      </w:r>
    </w:p>
    <w:p w14:paraId="57145195" w14:textId="77777777" w:rsidR="00826935" w:rsidRDefault="00000000">
      <w:pPr>
        <w:spacing w:after="160"/>
      </w:pPr>
      <w:r>
        <w:t xml:space="preserve">The session continuity architecture </w:t>
      </w:r>
      <w:proofErr w:type="gramStart"/>
      <w:r>
        <w:t>integrates at</w:t>
      </w:r>
      <w:proofErr w:type="gramEnd"/>
      <w:r>
        <w:t xml:space="preserve"> three points in the twelve-layer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6935" w14:paraId="01BB65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8AB3B2" w14:textId="77777777" w:rsidR="00826935" w:rsidRDefault="00000000">
            <w:r>
              <w:rPr>
                <w:b/>
                <w:bCs/>
                <w:color w:val="FFFFFF"/>
                <w:sz w:val="22"/>
                <w:szCs w:val="22"/>
              </w:rPr>
              <w:t>Integration Point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1C8318" w14:textId="77777777" w:rsidR="00826935" w:rsidRDefault="00000000">
            <w:r>
              <w:rPr>
                <w:b/>
                <w:bCs/>
                <w:color w:val="FFFFFF"/>
                <w:sz w:val="22"/>
                <w:szCs w:val="22"/>
              </w:rPr>
              <w:t>CMGF Layer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DDD183" w14:textId="77777777" w:rsidR="00826935" w:rsidRDefault="00000000">
            <w:r>
              <w:rPr>
                <w:b/>
                <w:bCs/>
                <w:color w:val="FFFFFF"/>
                <w:sz w:val="22"/>
                <w:szCs w:val="22"/>
              </w:rPr>
              <w:t>Function</w:t>
            </w:r>
          </w:p>
        </w:tc>
      </w:tr>
      <w:tr w:rsidR="00826935" w14:paraId="72645F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C4667" w14:textId="77777777" w:rsidR="00826935" w:rsidRDefault="00000000">
            <w:r>
              <w:rPr>
                <w:color w:val="000000"/>
                <w:sz w:val="22"/>
                <w:szCs w:val="22"/>
              </w:rPr>
              <w:t>Token Generation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597F0" w14:textId="77777777" w:rsidR="00826935" w:rsidRDefault="00000000">
            <w:r>
              <w:rPr>
                <w:color w:val="000000"/>
                <w:sz w:val="22"/>
                <w:szCs w:val="22"/>
              </w:rPr>
              <w:t>Layer 10: Advisor Interface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2BDB3" w14:textId="77777777" w:rsidR="00826935" w:rsidRDefault="00000000">
            <w:r>
              <w:rPr>
                <w:color w:val="000000"/>
                <w:sz w:val="22"/>
                <w:szCs w:val="22"/>
              </w:rPr>
              <w:t>Session summary token is generated as a final output of the advising session, provided to the service member through the interface.</w:t>
            </w:r>
          </w:p>
        </w:tc>
      </w:tr>
      <w:tr w:rsidR="00826935" w14:paraId="25069B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A6641" w14:textId="77777777" w:rsidR="00826935" w:rsidRDefault="00000000">
            <w:r>
              <w:rPr>
                <w:color w:val="000000"/>
                <w:sz w:val="22"/>
                <w:szCs w:val="22"/>
              </w:rPr>
              <w:t>Token Import and Comparison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177E4" w14:textId="77777777" w:rsidR="00826935" w:rsidRDefault="00000000">
            <w:r>
              <w:rPr>
                <w:color w:val="000000"/>
                <w:sz w:val="22"/>
                <w:szCs w:val="22"/>
              </w:rPr>
              <w:t>Layer 7: Constraint Binding Engine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17371" w14:textId="77777777" w:rsidR="00826935" w:rsidRDefault="00000000">
            <w:r>
              <w:rPr>
                <w:color w:val="000000"/>
                <w:sz w:val="22"/>
                <w:szCs w:val="22"/>
              </w:rPr>
              <w:t>Upon re-import, the binding engine compares prior-session rule versions and constraint states against current rule base to identify changes.</w:t>
            </w:r>
          </w:p>
        </w:tc>
      </w:tr>
      <w:tr w:rsidR="00826935" w14:paraId="5717C1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B5B54" w14:textId="77777777" w:rsidR="00826935" w:rsidRDefault="00000000">
            <w:r>
              <w:rPr>
                <w:color w:val="000000"/>
                <w:sz w:val="22"/>
                <w:szCs w:val="22"/>
              </w:rPr>
              <w:lastRenderedPageBreak/>
              <w:t>Audit Logging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B61D5" w14:textId="77777777" w:rsidR="00826935" w:rsidRDefault="00000000">
            <w:r>
              <w:rPr>
                <w:color w:val="000000"/>
                <w:sz w:val="22"/>
                <w:szCs w:val="22"/>
              </w:rPr>
              <w:t>Layer 11: Audit and Logging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50AAE" w14:textId="77777777" w:rsidR="00826935" w:rsidRDefault="00000000">
            <w:r>
              <w:rPr>
                <w:color w:val="000000"/>
                <w:sz w:val="22"/>
                <w:szCs w:val="22"/>
              </w:rPr>
              <w:t>Token import events are logged (timestamp, token age, rule version delta) without logging the token contents, preserving audit traceability while maintaining session isolation.</w:t>
            </w:r>
          </w:p>
        </w:tc>
      </w:tr>
    </w:tbl>
    <w:p w14:paraId="45636090" w14:textId="77777777" w:rsidR="00826935" w:rsidRDefault="00826935">
      <w:pPr>
        <w:spacing w:after="160"/>
      </w:pPr>
    </w:p>
    <w:p w14:paraId="107C4D7B" w14:textId="77777777" w:rsidR="00826935" w:rsidRDefault="00000000">
      <w:pPr>
        <w:pStyle w:val="Heading2"/>
      </w:pPr>
      <w:r>
        <w:t>Interaction with the Sovereign Credential Ledger</w:t>
      </w:r>
    </w:p>
    <w:p w14:paraId="0BB52102" w14:textId="77777777" w:rsidR="00826935" w:rsidRDefault="00000000">
      <w:pPr>
        <w:spacing w:after="160"/>
      </w:pPr>
      <w:r>
        <w:t xml:space="preserve">If the Sovereign Credential Ledger is implemented, session tokens could be stored within the ledger as a separate, encrypted credential category. This would provide a single, member-controlled repository for both credential records and planning state, further reducing the cognitive burden on the service member. However, the session token system is designed to function independently: tokens can be stored as local files, in cloud storage, or through any mechanism the service member chooses. The Sovereign Credential Ledger is a </w:t>
      </w:r>
      <w:proofErr w:type="gramStart"/>
      <w:r>
        <w:t>convenience</w:t>
      </w:r>
      <w:proofErr w:type="gramEnd"/>
      <w:r>
        <w:t xml:space="preserve"> integration, not a dependency.</w:t>
      </w:r>
    </w:p>
    <w:p w14:paraId="3EBFFB7B" w14:textId="77777777" w:rsidR="00826935" w:rsidRDefault="00000000">
      <w:pPr>
        <w:pStyle w:val="Heading2"/>
      </w:pPr>
      <w:r>
        <w:t>Rationale for Deferral</w:t>
      </w:r>
    </w:p>
    <w:p w14:paraId="661F6889" w14:textId="77777777" w:rsidR="00826935" w:rsidRDefault="00000000">
      <w:pPr>
        <w:pStyle w:val="ListParagraph"/>
        <w:numPr>
          <w:ilvl w:val="0"/>
          <w:numId w:val="2"/>
        </w:numPr>
        <w:spacing w:after="80"/>
      </w:pPr>
      <w:r>
        <w:rPr>
          <w:b/>
          <w:bCs/>
        </w:rPr>
        <w:t xml:space="preserve">Privacy Impact Assessment Required: </w:t>
      </w:r>
      <w:r>
        <w:t>Any mechanism that enables temporal awareness across sessions must be rigorously evaluated for re-identification risk, even when the data contains only constraint states and rule versions. A formal privacy impact assessment should precede implementation.</w:t>
      </w:r>
    </w:p>
    <w:p w14:paraId="5DFA3B37" w14:textId="77777777" w:rsidR="00826935" w:rsidRDefault="00000000">
      <w:pPr>
        <w:pStyle w:val="ListParagraph"/>
        <w:numPr>
          <w:ilvl w:val="0"/>
          <w:numId w:val="2"/>
        </w:numPr>
        <w:spacing w:after="80"/>
      </w:pPr>
      <w:r>
        <w:rPr>
          <w:b/>
          <w:bCs/>
        </w:rPr>
        <w:t xml:space="preserve">Encryption and Key Management Standards: </w:t>
      </w:r>
      <w:r>
        <w:t>Session tokens must be encrypted with standards appropriate for federal systems. Key management (who holds the decryption key, how lost keys are handled, how revocation works) requires governance specification that is beyond the capstone scope.</w:t>
      </w:r>
    </w:p>
    <w:p w14:paraId="63BE98F3" w14:textId="77777777" w:rsidR="00826935" w:rsidRDefault="00000000">
      <w:pPr>
        <w:pStyle w:val="ListParagraph"/>
        <w:numPr>
          <w:ilvl w:val="0"/>
          <w:numId w:val="2"/>
        </w:numPr>
        <w:spacing w:after="80"/>
      </w:pPr>
      <w:r>
        <w:rPr>
          <w:b/>
          <w:bCs/>
        </w:rPr>
        <w:t xml:space="preserve">User Experience Research Needed: </w:t>
      </w:r>
      <w:r>
        <w:t>The member-held token model places responsibility on the service member to retain and re-import their token. User experience research should assess whether this model is practical for the target population or whether alternative custody models are needed.</w:t>
      </w:r>
    </w:p>
    <w:p w14:paraId="21FE98AB" w14:textId="77777777" w:rsidR="00826935" w:rsidRDefault="00000000">
      <w:pPr>
        <w:pStyle w:val="ListParagraph"/>
        <w:numPr>
          <w:ilvl w:val="0"/>
          <w:numId w:val="2"/>
        </w:numPr>
        <w:spacing w:after="80"/>
      </w:pPr>
      <w:r>
        <w:rPr>
          <w:b/>
          <w:bCs/>
        </w:rPr>
        <w:t xml:space="preserve">CMGF Functions Without It: </w:t>
      </w:r>
      <w:r>
        <w:t>Session isolation is a conservative default that errs on the side of privacy protection. The framework delivers value in single-session use. Continuity is an enhancement, not a requirement.</w:t>
      </w:r>
    </w:p>
    <w:p w14:paraId="3F338B4C" w14:textId="77777777" w:rsidR="00826935" w:rsidRDefault="00000000">
      <w:pPr>
        <w:pStyle w:val="Heading2"/>
      </w:pPr>
      <w:r>
        <w:t>Conditions for Future Development</w:t>
      </w:r>
    </w:p>
    <w:p w14:paraId="3773BEC6" w14:textId="77777777" w:rsidR="00826935" w:rsidRDefault="00000000">
      <w:pPr>
        <w:spacing w:after="160"/>
      </w:pPr>
      <w:r>
        <w:t>Development of the Session Continuity Architecture should be considered when:</w:t>
      </w:r>
    </w:p>
    <w:p w14:paraId="6E6A7570" w14:textId="77777777" w:rsidR="00826935" w:rsidRDefault="00000000">
      <w:pPr>
        <w:pStyle w:val="ListParagraph"/>
        <w:numPr>
          <w:ilvl w:val="0"/>
          <w:numId w:val="2"/>
        </w:numPr>
        <w:spacing w:after="80"/>
      </w:pPr>
      <w:r>
        <w:t>Privacy impact assessment confirms that constraint-state-only tokens do not create re-identification risk under federal PII protection standards.</w:t>
      </w:r>
    </w:p>
    <w:p w14:paraId="05283CC8" w14:textId="77777777" w:rsidR="00826935" w:rsidRDefault="00000000">
      <w:pPr>
        <w:pStyle w:val="ListParagraph"/>
        <w:numPr>
          <w:ilvl w:val="0"/>
          <w:numId w:val="2"/>
        </w:numPr>
        <w:spacing w:after="80"/>
      </w:pPr>
      <w:r>
        <w:t>Encryption and key management standards for member-held tokens are specified and approved by relevant governance authorities.</w:t>
      </w:r>
    </w:p>
    <w:p w14:paraId="73B07821" w14:textId="77777777" w:rsidR="00826935" w:rsidRDefault="00000000">
      <w:pPr>
        <w:pStyle w:val="ListParagraph"/>
        <w:numPr>
          <w:ilvl w:val="0"/>
          <w:numId w:val="2"/>
        </w:numPr>
        <w:spacing w:after="80"/>
      </w:pPr>
      <w:r>
        <w:t>User experience research with representative service member populations validates the practicality of the member-held token model.</w:t>
      </w:r>
    </w:p>
    <w:p w14:paraId="53FD8206" w14:textId="77777777" w:rsidR="00826935" w:rsidRDefault="00000000">
      <w:pPr>
        <w:pStyle w:val="ListParagraph"/>
        <w:numPr>
          <w:ilvl w:val="0"/>
          <w:numId w:val="2"/>
        </w:numPr>
        <w:spacing w:after="80"/>
      </w:pPr>
      <w:r>
        <w:lastRenderedPageBreak/>
        <w:t>The CMGF rule base has sufficient version control maturity to support reliable temporal comparisons across session intervals.</w:t>
      </w:r>
    </w:p>
    <w:p w14:paraId="3F71F9B8" w14:textId="77777777" w:rsidR="00826935" w:rsidRDefault="00000000">
      <w:r>
        <w:br w:type="page"/>
      </w:r>
    </w:p>
    <w:p w14:paraId="1285E402" w14:textId="77777777" w:rsidR="00826935" w:rsidRDefault="00000000">
      <w:pPr>
        <w:pStyle w:val="Heading1"/>
        <w:spacing w:after="120"/>
      </w:pPr>
      <w:r>
        <w:lastRenderedPageBreak/>
        <w:t>Inter-Component Dependencies and Sequencing</w:t>
      </w:r>
    </w:p>
    <w:p w14:paraId="3588E43D" w14:textId="77777777" w:rsidR="00826935" w:rsidRDefault="00000000">
      <w:pPr>
        <w:spacing w:after="160"/>
      </w:pPr>
      <w:r>
        <w:t>The three deferred components are designed to be independently implementable but exhibit beneficial dependencies when sequenced appropriately. The following dependency analysis informs future development prioritization.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6935" w14:paraId="6D5E82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A8C4E3" w14:textId="77777777" w:rsidR="00826935" w:rsidRDefault="00000000">
            <w:r>
              <w:rPr>
                <w:b/>
                <w:bCs/>
                <w:color w:val="FFFFFF"/>
                <w:sz w:val="22"/>
                <w:szCs w:val="22"/>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96124D" w14:textId="77777777" w:rsidR="00826935" w:rsidRDefault="00000000">
            <w:r>
              <w:rPr>
                <w:b/>
                <w:bCs/>
                <w:color w:val="FFFFFF"/>
                <w:sz w:val="22"/>
                <w:szCs w:val="22"/>
              </w:rPr>
              <w:t>Dependencies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490C02" w14:textId="77777777" w:rsidR="00826935" w:rsidRDefault="00000000">
            <w:r>
              <w:rPr>
                <w:b/>
                <w:bCs/>
                <w:color w:val="FFFFFF"/>
                <w:sz w:val="22"/>
                <w:szCs w:val="22"/>
              </w:rPr>
              <w:t>Enables</w:t>
            </w:r>
          </w:p>
        </w:tc>
      </w:tr>
      <w:tr w:rsidR="00826935" w14:paraId="7BE031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2871F" w14:textId="77777777" w:rsidR="00826935" w:rsidRDefault="00000000">
            <w:r>
              <w:rPr>
                <w:color w:val="000000"/>
                <w:sz w:val="22"/>
                <w:szCs w:val="22"/>
              </w:rPr>
              <w:t>Credit Clearing House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6A261" w14:textId="77777777" w:rsidR="00826935" w:rsidRDefault="00000000">
            <w:r>
              <w:rPr>
                <w:color w:val="000000"/>
                <w:sz w:val="22"/>
                <w:szCs w:val="22"/>
              </w:rPr>
              <w:t>None. Can be implemented independently using existing accreditation and transfer mechanisms.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02F38" w14:textId="77777777" w:rsidR="00826935" w:rsidRDefault="00000000">
            <w:r>
              <w:rPr>
                <w:color w:val="000000"/>
                <w:sz w:val="22"/>
                <w:szCs w:val="22"/>
              </w:rPr>
              <w:t>Improves data confidence in CMGF Credential Registry. Reduces Conditional signals. Provides higher-authority input for Sovereign Credential Ledger.</w:t>
            </w:r>
          </w:p>
        </w:tc>
      </w:tr>
      <w:tr w:rsidR="00826935" w14:paraId="55E0D6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5BFCD" w14:textId="77777777" w:rsidR="00826935" w:rsidRDefault="00000000">
            <w:r>
              <w:rPr>
                <w:color w:val="000000"/>
                <w:sz w:val="22"/>
                <w:szCs w:val="22"/>
              </w:rPr>
              <w:t>Sovereign Credential Ledger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C177B" w14:textId="77777777" w:rsidR="00826935" w:rsidRDefault="00000000">
            <w:r>
              <w:rPr>
                <w:color w:val="000000"/>
                <w:sz w:val="22"/>
                <w:szCs w:val="22"/>
              </w:rPr>
              <w:t>Benefits from Credit Clearing House (higher-authority credential entries) but can function without it using existing credential sources.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D94C3" w14:textId="77777777" w:rsidR="00826935" w:rsidRDefault="00000000">
            <w:r>
              <w:rPr>
                <w:color w:val="000000"/>
                <w:sz w:val="22"/>
                <w:szCs w:val="22"/>
              </w:rPr>
              <w:t>Provides portable, verifiable input to CMGF Layer 4. Optional storage for Session Continuity tokens.</w:t>
            </w:r>
          </w:p>
        </w:tc>
      </w:tr>
      <w:tr w:rsidR="00826935" w14:paraId="3D4543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E62A0" w14:textId="77777777" w:rsidR="00826935" w:rsidRDefault="00000000">
            <w:r>
              <w:rPr>
                <w:color w:val="000000"/>
                <w:sz w:val="22"/>
                <w:szCs w:val="22"/>
              </w:rPr>
              <w:t>Session Continuity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A6546" w14:textId="77777777" w:rsidR="00826935" w:rsidRDefault="00000000">
            <w:r>
              <w:rPr>
                <w:color w:val="000000"/>
                <w:sz w:val="22"/>
                <w:szCs w:val="22"/>
              </w:rPr>
              <w:t>None. Operates on CMGF rule base version control. Benefits from Sovereign Credential Ledger for token storage but functions independently.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BFD67" w14:textId="77777777" w:rsidR="00826935" w:rsidRDefault="00000000">
            <w:r>
              <w:rPr>
                <w:color w:val="000000"/>
                <w:sz w:val="22"/>
                <w:szCs w:val="22"/>
              </w:rPr>
              <w:t>Reduces member cognitive burden across sessions. Enables temporal constraint tracking at the individual level.</w:t>
            </w:r>
          </w:p>
        </w:tc>
      </w:tr>
    </w:tbl>
    <w:p w14:paraId="253B01E8" w14:textId="77777777" w:rsidR="00826935" w:rsidRDefault="00826935">
      <w:pPr>
        <w:spacing w:after="160"/>
      </w:pPr>
    </w:p>
    <w:p w14:paraId="63C4DF8B" w14:textId="77777777" w:rsidR="00826935" w:rsidRDefault="00000000">
      <w:pPr>
        <w:pStyle w:val="Heading2"/>
      </w:pPr>
      <w:r>
        <w:t>Recommended Sequencing</w:t>
      </w:r>
    </w:p>
    <w:p w14:paraId="12C0D587" w14:textId="77777777" w:rsidR="00826935" w:rsidRDefault="00000000">
      <w:pPr>
        <w:spacing w:after="160"/>
      </w:pPr>
      <w:r>
        <w:t>Based on dependency analysis and governance readiness assessment, the following sequencing is recommended for future development consideration:</w:t>
      </w:r>
    </w:p>
    <w:p w14:paraId="0ACC6374" w14:textId="77777777" w:rsidR="00826935" w:rsidRDefault="00000000">
      <w:pPr>
        <w:spacing w:after="160"/>
      </w:pPr>
      <w:r>
        <w:rPr>
          <w:b/>
          <w:bCs/>
        </w:rPr>
        <w:t xml:space="preserve">Phase 1: Credit Clearing House. </w:t>
      </w:r>
      <w:r>
        <w:t>This component has the lowest technology risk, the most established institutional precedent (Excelsior College model), and the most immediate impact on CMGF data confidence. It addresses the recommendation-to-award gap that is one of the most frequently surfaced constraint conflicts in military credential portability.</w:t>
      </w:r>
    </w:p>
    <w:p w14:paraId="5E101096" w14:textId="77777777" w:rsidR="00826935" w:rsidRDefault="00000000">
      <w:pPr>
        <w:spacing w:after="160"/>
      </w:pPr>
      <w:r>
        <w:rPr>
          <w:b/>
          <w:bCs/>
        </w:rPr>
        <w:t xml:space="preserve">Phase 2: Session Continuity Architecture. </w:t>
      </w:r>
      <w:r>
        <w:t>This component has moderate technology requirements (encryption, token management) and directly addresses the temporal planning tension identified in CMGF’s design review. It can be piloted with a small user population to validate the member-held token model before broader deployment.</w:t>
      </w:r>
    </w:p>
    <w:p w14:paraId="29593438" w14:textId="77777777" w:rsidR="00826935" w:rsidRDefault="00000000">
      <w:pPr>
        <w:spacing w:after="160"/>
      </w:pPr>
      <w:r>
        <w:rPr>
          <w:b/>
          <w:bCs/>
        </w:rPr>
        <w:t xml:space="preserve">Phase 3: Sovereign Credential Ledger. </w:t>
      </w:r>
      <w:r>
        <w:t>This component has the highest governance and technology requirements. It benefits from the existence of the Credit Clearing House (which provides higher-authority credential entries for the ledger) and from Session Continuity (which provides a use case for ledger-based token storage). Deferring it to Phase 3 allows governance frameworks and DLT standards to mature.</w:t>
      </w:r>
    </w:p>
    <w:p w14:paraId="5E350722" w14:textId="77777777" w:rsidR="00826935" w:rsidRDefault="00000000">
      <w:r>
        <w:lastRenderedPageBreak/>
        <w:br w:type="page"/>
      </w:r>
    </w:p>
    <w:p w14:paraId="335F856F" w14:textId="77777777" w:rsidR="00826935" w:rsidRDefault="00000000">
      <w:pPr>
        <w:pStyle w:val="Heading1"/>
        <w:spacing w:after="120"/>
      </w:pPr>
      <w:r>
        <w:lastRenderedPageBreak/>
        <w:t>NIST AI RMF Alignment</w:t>
      </w:r>
    </w:p>
    <w:p w14:paraId="728EC43E" w14:textId="77777777" w:rsidR="00826935" w:rsidRDefault="00000000">
      <w:pPr>
        <w:spacing w:after="160"/>
      </w:pPr>
      <w:r>
        <w:t>Each deferred component was evaluated for alignment with the NIST AI Risk Management Framework (AI RMF 1.0) core functions. The following mapping documents how future development should incorporate NIST principles from design inception rather than as post-implementation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826935" w14:paraId="4289F33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0B8551" w14:textId="77777777" w:rsidR="00826935" w:rsidRDefault="00000000">
            <w:r>
              <w:rPr>
                <w:b/>
                <w:bCs/>
                <w:color w:val="FFFFFF"/>
                <w:sz w:val="20"/>
                <w:szCs w:val="20"/>
              </w:rPr>
              <w:t>NIST Function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066BEF" w14:textId="77777777" w:rsidR="00826935" w:rsidRDefault="00000000">
            <w:r>
              <w:rPr>
                <w:b/>
                <w:bCs/>
                <w:color w:val="FFFFFF"/>
                <w:sz w:val="20"/>
                <w:szCs w:val="20"/>
              </w:rPr>
              <w:t>Credential Ledger</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67A52A" w14:textId="77777777" w:rsidR="00826935" w:rsidRDefault="00000000">
            <w:r>
              <w:rPr>
                <w:b/>
                <w:bCs/>
                <w:color w:val="FFFFFF"/>
                <w:sz w:val="20"/>
                <w:szCs w:val="20"/>
              </w:rPr>
              <w:t>Credit Clearing House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3800F8" w14:textId="77777777" w:rsidR="00826935" w:rsidRDefault="00000000">
            <w:r>
              <w:rPr>
                <w:b/>
                <w:bCs/>
                <w:color w:val="FFFFFF"/>
                <w:sz w:val="20"/>
                <w:szCs w:val="20"/>
              </w:rPr>
              <w:t>Session Continuity</w:t>
            </w:r>
          </w:p>
        </w:tc>
      </w:tr>
      <w:tr w:rsidR="00826935" w14:paraId="1C62D52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4B656" w14:textId="77777777" w:rsidR="00826935" w:rsidRDefault="00000000">
            <w:r>
              <w:rPr>
                <w:b/>
                <w:bCs/>
                <w:sz w:val="20"/>
                <w:szCs w:val="20"/>
              </w:rPr>
              <w:t>GOVERN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3D8EA" w14:textId="77777777" w:rsidR="00826935" w:rsidRDefault="00000000">
            <w:r>
              <w:rPr>
                <w:sz w:val="20"/>
                <w:szCs w:val="20"/>
              </w:rPr>
              <w:t>Requires new governance body for ledger stewardship. Must define who authorizes credential entries and dispute resolution.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52A0E" w14:textId="77777777" w:rsidR="00826935" w:rsidRDefault="00000000">
            <w:r>
              <w:rPr>
                <w:sz w:val="20"/>
                <w:szCs w:val="20"/>
              </w:rPr>
              <w:t>Requires accreditation governance. Must define scope of credit award authority and quality assurance.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B1289" w14:textId="77777777" w:rsidR="00826935" w:rsidRDefault="00000000">
            <w:r>
              <w:rPr>
                <w:sz w:val="20"/>
                <w:szCs w:val="20"/>
              </w:rPr>
              <w:t>Requires privacy governance specification. Must define token encryption standards and expiration policies.</w:t>
            </w:r>
          </w:p>
        </w:tc>
      </w:tr>
      <w:tr w:rsidR="00826935" w14:paraId="32283C7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73825" w14:textId="77777777" w:rsidR="00826935" w:rsidRDefault="00000000">
            <w:r>
              <w:rPr>
                <w:b/>
                <w:bCs/>
                <w:sz w:val="20"/>
                <w:szCs w:val="20"/>
              </w:rPr>
              <w:t>MAP</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19F29" w14:textId="77777777" w:rsidR="00826935" w:rsidRDefault="00000000">
            <w:r>
              <w:rPr>
                <w:sz w:val="20"/>
                <w:szCs w:val="20"/>
              </w:rPr>
              <w:t>Map risks of DLT failure, key loss, and institutional non-acceptance. Define fallback to manual verification.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3B8D1" w14:textId="77777777" w:rsidR="00826935" w:rsidRDefault="00000000">
            <w:r>
              <w:rPr>
                <w:sz w:val="20"/>
                <w:szCs w:val="20"/>
              </w:rPr>
              <w:t>Map risks of credit quality concerns, accreditation challenges, and receiving institution resistance.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60A5C" w14:textId="77777777" w:rsidR="00826935" w:rsidRDefault="00000000">
            <w:r>
              <w:rPr>
                <w:sz w:val="20"/>
                <w:szCs w:val="20"/>
              </w:rPr>
              <w:t>Map risks of token re-identification, stale comparisons, and member burden of token custody.</w:t>
            </w:r>
          </w:p>
        </w:tc>
      </w:tr>
      <w:tr w:rsidR="00826935" w14:paraId="5F4EB42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59C24" w14:textId="77777777" w:rsidR="00826935" w:rsidRDefault="00000000">
            <w:r>
              <w:rPr>
                <w:b/>
                <w:bCs/>
                <w:sz w:val="20"/>
                <w:szCs w:val="20"/>
              </w:rPr>
              <w:t>MEASURE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40047" w14:textId="77777777" w:rsidR="00826935" w:rsidRDefault="00000000">
            <w:r>
              <w:rPr>
                <w:sz w:val="20"/>
                <w:szCs w:val="20"/>
              </w:rPr>
              <w:t>Measure credential verification success rates, institutional acceptance rates, and ledger availability.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B462E" w14:textId="77777777" w:rsidR="00826935" w:rsidRDefault="00000000">
            <w:r>
              <w:rPr>
                <w:sz w:val="20"/>
                <w:szCs w:val="20"/>
              </w:rPr>
              <w:t>Measure credit acceptance rates at receiving institutions, time-to-transfer, and member satisfaction.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06139" w14:textId="77777777" w:rsidR="00826935" w:rsidRDefault="00000000">
            <w:r>
              <w:rPr>
                <w:sz w:val="20"/>
                <w:szCs w:val="20"/>
              </w:rPr>
              <w:t>Measure token import rates, temporal diff utility (advisor and member assessment), and privacy compliance.</w:t>
            </w:r>
          </w:p>
        </w:tc>
      </w:tr>
      <w:tr w:rsidR="00826935" w14:paraId="5403246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12975" w14:textId="77777777" w:rsidR="00826935" w:rsidRDefault="00000000">
            <w:r>
              <w:rPr>
                <w:b/>
                <w:bCs/>
                <w:sz w:val="20"/>
                <w:szCs w:val="20"/>
              </w:rPr>
              <w:t>MANAGE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054AE" w14:textId="77777777" w:rsidR="00826935" w:rsidRDefault="00000000">
            <w:r>
              <w:rPr>
                <w:sz w:val="20"/>
                <w:szCs w:val="20"/>
              </w:rPr>
              <w:t>Manage key revocation, ledger integrity incidents, and governance disputes. Define decommissioning procedures.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D75A0" w14:textId="77777777" w:rsidR="00826935" w:rsidRDefault="00000000">
            <w:r>
              <w:rPr>
                <w:sz w:val="20"/>
                <w:szCs w:val="20"/>
              </w:rPr>
              <w:t>Manage accreditation compliance, credit dispute resolution, and partnership continuity.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62982" w14:textId="77777777" w:rsidR="00826935" w:rsidRDefault="00000000">
            <w:r>
              <w:rPr>
                <w:sz w:val="20"/>
                <w:szCs w:val="20"/>
              </w:rPr>
              <w:t>Manage token expiration, encryption key rotation, and privacy incident response.</w:t>
            </w:r>
          </w:p>
        </w:tc>
      </w:tr>
    </w:tbl>
    <w:p w14:paraId="1798B53A" w14:textId="77777777" w:rsidR="00826935" w:rsidRDefault="00826935">
      <w:pPr>
        <w:spacing w:after="160"/>
      </w:pPr>
    </w:p>
    <w:p w14:paraId="586D26D2" w14:textId="77777777" w:rsidR="00826935" w:rsidRDefault="00000000">
      <w:pPr>
        <w:pStyle w:val="Heading1"/>
        <w:spacing w:after="120"/>
      </w:pPr>
      <w:r>
        <w:t>Architectural Integrity Statement</w:t>
      </w:r>
    </w:p>
    <w:p w14:paraId="6E771B55" w14:textId="77777777" w:rsidR="00826935" w:rsidRDefault="00000000">
      <w:pPr>
        <w:spacing w:after="160"/>
      </w:pPr>
      <w:r>
        <w:t>The three deferred components documented in this brief are upstream enhancements and downstream extensions to the CMGF binding layer. None of them alter the core governance constraints that define CMGF’s architecture:</w:t>
      </w:r>
    </w:p>
    <w:p w14:paraId="6A606BEF" w14:textId="77777777" w:rsidR="00826935" w:rsidRDefault="00000000">
      <w:pPr>
        <w:pStyle w:val="ListParagraph"/>
        <w:numPr>
          <w:ilvl w:val="0"/>
          <w:numId w:val="2"/>
        </w:numPr>
        <w:spacing w:after="80"/>
      </w:pPr>
      <w:r>
        <w:t xml:space="preserve">The system does not </w:t>
      </w:r>
      <w:proofErr w:type="gramStart"/>
      <w:r>
        <w:t>train on</w:t>
      </w:r>
      <w:proofErr w:type="gramEnd"/>
      <w:r>
        <w:t xml:space="preserve"> user data, score individuals, predict outcomes, or automate decisions.</w:t>
      </w:r>
    </w:p>
    <w:p w14:paraId="1019AAEF" w14:textId="77777777" w:rsidR="00826935" w:rsidRDefault="00000000">
      <w:pPr>
        <w:pStyle w:val="ListParagraph"/>
        <w:numPr>
          <w:ilvl w:val="0"/>
          <w:numId w:val="2"/>
        </w:numPr>
        <w:spacing w:after="80"/>
      </w:pPr>
      <w:r>
        <w:t xml:space="preserve">Authority </w:t>
      </w:r>
      <w:proofErr w:type="gramStart"/>
      <w:r>
        <w:t>flows</w:t>
      </w:r>
      <w:proofErr w:type="gramEnd"/>
      <w:r>
        <w:t xml:space="preserve"> one direction: External Sources to System to Humans.</w:t>
      </w:r>
    </w:p>
    <w:p w14:paraId="43BF5702" w14:textId="77777777" w:rsidR="00826935" w:rsidRDefault="00000000">
      <w:pPr>
        <w:pStyle w:val="ListParagraph"/>
        <w:numPr>
          <w:ilvl w:val="0"/>
          <w:numId w:val="2"/>
        </w:numPr>
        <w:spacing w:after="80"/>
      </w:pPr>
      <w:r>
        <w:t>All consequential decisions require human authorization with documented rationale.</w:t>
      </w:r>
    </w:p>
    <w:p w14:paraId="1E79CCCF" w14:textId="77777777" w:rsidR="00826935" w:rsidRDefault="00000000">
      <w:pPr>
        <w:pStyle w:val="ListParagraph"/>
        <w:numPr>
          <w:ilvl w:val="0"/>
          <w:numId w:val="2"/>
        </w:numPr>
        <w:spacing w:after="80"/>
      </w:pPr>
      <w:r>
        <w:t>Audit trails maintain full traceability to authoritative sources.</w:t>
      </w:r>
    </w:p>
    <w:p w14:paraId="41B2D5F3" w14:textId="77777777" w:rsidR="00826935" w:rsidRDefault="00000000">
      <w:pPr>
        <w:pStyle w:val="ListParagraph"/>
        <w:numPr>
          <w:ilvl w:val="0"/>
          <w:numId w:val="2"/>
        </w:numPr>
        <w:spacing w:after="80"/>
      </w:pPr>
      <w:r>
        <w:t>Prediction, optimization, profiling, and automated approval remain architecturally prohibited.</w:t>
      </w:r>
    </w:p>
    <w:p w14:paraId="04C6A053" w14:textId="77777777" w:rsidR="00826935" w:rsidRDefault="00000000">
      <w:pPr>
        <w:spacing w:after="160"/>
      </w:pPr>
      <w:r>
        <w:lastRenderedPageBreak/>
        <w:t xml:space="preserve">The Sovereign Credential Ledger improves the quality of data entering the system. The Credit Clearing House improves the </w:t>
      </w:r>
      <w:proofErr w:type="gramStart"/>
      <w:r>
        <w:t>authority</w:t>
      </w:r>
      <w:proofErr w:type="gramEnd"/>
      <w:r>
        <w:t xml:space="preserve"> confidence </w:t>
      </w:r>
      <w:proofErr w:type="gramStart"/>
      <w:r>
        <w:t>of</w:t>
      </w:r>
      <w:proofErr w:type="gramEnd"/>
      <w:r>
        <w:t xml:space="preserve"> credential data. The Session Continuity Architecture improves the temporal awareness available to service members and advisors. None of these improvements require </w:t>
      </w:r>
      <w:proofErr w:type="gramStart"/>
      <w:r>
        <w:t>relaxation of any</w:t>
      </w:r>
      <w:proofErr w:type="gramEnd"/>
      <w:r>
        <w:t xml:space="preserve"> governance constraint.</w:t>
      </w:r>
    </w:p>
    <w:p w14:paraId="530149D9" w14:textId="77777777" w:rsidR="00826935" w:rsidRDefault="00000000">
      <w:pPr>
        <w:spacing w:after="160"/>
      </w:pPr>
      <w:r>
        <w:t>This separation between upstream data quality, core governance architecture, and downstream user experience is a deliberate design principle. It ensures that CMGF can evolve incrementally, component by component, without architectural regression. Each deferred component can be developed, piloted, and evaluated independently while the binding layer continues to operate under its original governance guarantees.</w:t>
      </w:r>
    </w:p>
    <w:p w14:paraId="737ADE6C" w14:textId="77777777" w:rsidR="00826935" w:rsidRDefault="00000000">
      <w:pPr>
        <w:pStyle w:val="Heading1"/>
        <w:spacing w:after="120"/>
      </w:pPr>
      <w:r>
        <w:t>Conclusion</w:t>
      </w:r>
    </w:p>
    <w:p w14:paraId="4BB3D835" w14:textId="77777777" w:rsidR="00826935" w:rsidRDefault="00000000">
      <w:pPr>
        <w:spacing w:after="160"/>
      </w:pPr>
      <w:r>
        <w:t>This document serves as a record of architectural reasoning for three components that were identified, evaluated, and deliberately deferred during the development of the Career Mobility Governance Framework. The deferrals reflect the principled application of governance maturity criteria rather than oversight or limitation.</w:t>
      </w:r>
    </w:p>
    <w:p w14:paraId="4D7A5693" w14:textId="77777777" w:rsidR="00826935" w:rsidRDefault="00000000">
      <w:pPr>
        <w:spacing w:after="160"/>
      </w:pPr>
      <w:r>
        <w:t>By documenting these components now, along with their integration points, deferral rationale, development conditions, and NIST alignment requirements, this brief ensures that future pilot design teams can incorporate these enhancements without re-deriving the architectural reasoning. The path from the current CMGF architecture to a fully integrated credential infrastructure is defined; what remains is institutional will, governance readiness, and the sustained commitment to ensuring that infrastructure evolution serves the service member without compromising the governance constraints that make CMGF trustworthy.</w:t>
      </w:r>
    </w:p>
    <w:p w14:paraId="69581FC3" w14:textId="77777777" w:rsidR="00826935" w:rsidRDefault="00000000">
      <w:pPr>
        <w:spacing w:after="160"/>
      </w:pPr>
      <w:r>
        <w:t>The central design insight preserved across all three components is the same insight that governs CMGF itself: technology is the mechanism, but governance is the constraint. Upstream improvements in credential provenance and authority, and downstream improvements in session continuity and temporal awareness, are valuable only insofar as they operate within the governance boundaries that preserve human authority, institutional accountability, and service-member agency.</w:t>
      </w:r>
    </w:p>
    <w:sectPr w:rsidR="0082693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8CD24" w14:textId="77777777" w:rsidR="00221E53" w:rsidRDefault="00221E53">
      <w:r>
        <w:separator/>
      </w:r>
    </w:p>
  </w:endnote>
  <w:endnote w:type="continuationSeparator" w:id="0">
    <w:p w14:paraId="69AFA62F" w14:textId="77777777" w:rsidR="00221E53" w:rsidRDefault="00221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0434E" w14:textId="77777777" w:rsidR="00826935" w:rsidRDefault="00000000">
    <w:pPr>
      <w:pBdr>
        <w:top w:val="single" w:sz="4" w:space="1" w:color="CCCCCC"/>
      </w:pBdr>
      <w:tabs>
        <w:tab w:val="right" w:pos="9026"/>
      </w:tabs>
    </w:pPr>
    <w:r>
      <w:rPr>
        <w:color w:val="888888"/>
        <w:sz w:val="18"/>
        <w:szCs w:val="18"/>
      </w:rPr>
      <w:t xml:space="preserve">CMGF Series </w:t>
    </w:r>
    <w:proofErr w:type="gramStart"/>
    <w:r>
      <w:rPr>
        <w:color w:val="888888"/>
        <w:sz w:val="18"/>
        <w:szCs w:val="18"/>
      </w:rPr>
      <w:t>2026  |</w:t>
    </w:r>
    <w:proofErr w:type="gramEnd"/>
    <w:r>
      <w:rPr>
        <w:color w:val="888888"/>
        <w:sz w:val="18"/>
        <w:szCs w:val="18"/>
      </w:rPr>
      <w:t xml:space="preserve">  McCoy</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B6E0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64CD0" w14:textId="77777777" w:rsidR="00221E53" w:rsidRDefault="00221E53">
      <w:r>
        <w:separator/>
      </w:r>
    </w:p>
  </w:footnote>
  <w:footnote w:type="continuationSeparator" w:id="0">
    <w:p w14:paraId="4DD5D4CC" w14:textId="77777777" w:rsidR="00221E53" w:rsidRDefault="00221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3EA1F" w14:textId="77777777" w:rsidR="00826935" w:rsidRDefault="00000000">
    <w:pPr>
      <w:pBdr>
        <w:bottom w:val="single" w:sz="4" w:space="1" w:color="CCCCCC"/>
      </w:pBdr>
    </w:pPr>
    <w:r>
      <w:rPr>
        <w:i/>
        <w:iCs/>
        <w:color w:val="888888"/>
        <w:sz w:val="18"/>
        <w:szCs w:val="18"/>
      </w:rPr>
      <w:t>CMGF-05 Credential Infrastructure, Session Continuity, and Upstream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7D6"/>
    <w:multiLevelType w:val="hybridMultilevel"/>
    <w:tmpl w:val="942608D4"/>
    <w:lvl w:ilvl="0" w:tplc="13E48390">
      <w:start w:val="1"/>
      <w:numFmt w:val="decimal"/>
      <w:lvlText w:val="%1."/>
      <w:lvlJc w:val="left"/>
      <w:pPr>
        <w:ind w:left="720" w:hanging="360"/>
      </w:pPr>
    </w:lvl>
    <w:lvl w:ilvl="1" w:tplc="9B882298">
      <w:numFmt w:val="decimal"/>
      <w:lvlText w:val=""/>
      <w:lvlJc w:val="left"/>
    </w:lvl>
    <w:lvl w:ilvl="2" w:tplc="673288CC">
      <w:numFmt w:val="decimal"/>
      <w:lvlText w:val=""/>
      <w:lvlJc w:val="left"/>
    </w:lvl>
    <w:lvl w:ilvl="3" w:tplc="9AF2B632">
      <w:numFmt w:val="decimal"/>
      <w:lvlText w:val=""/>
      <w:lvlJc w:val="left"/>
    </w:lvl>
    <w:lvl w:ilvl="4" w:tplc="46F47ABA">
      <w:numFmt w:val="decimal"/>
      <w:lvlText w:val=""/>
      <w:lvlJc w:val="left"/>
    </w:lvl>
    <w:lvl w:ilvl="5" w:tplc="D6B46C00">
      <w:numFmt w:val="decimal"/>
      <w:lvlText w:val=""/>
      <w:lvlJc w:val="left"/>
    </w:lvl>
    <w:lvl w:ilvl="6" w:tplc="9C0631FC">
      <w:numFmt w:val="decimal"/>
      <w:lvlText w:val=""/>
      <w:lvlJc w:val="left"/>
    </w:lvl>
    <w:lvl w:ilvl="7" w:tplc="03924CE2">
      <w:numFmt w:val="decimal"/>
      <w:lvlText w:val=""/>
      <w:lvlJc w:val="left"/>
    </w:lvl>
    <w:lvl w:ilvl="8" w:tplc="DEFABDDC">
      <w:numFmt w:val="decimal"/>
      <w:lvlText w:val=""/>
      <w:lvlJc w:val="left"/>
    </w:lvl>
  </w:abstractNum>
  <w:abstractNum w:abstractNumId="1" w15:restartNumberingAfterBreak="0">
    <w:nsid w:val="121604A0"/>
    <w:multiLevelType w:val="hybridMultilevel"/>
    <w:tmpl w:val="5F1A05DE"/>
    <w:lvl w:ilvl="0" w:tplc="543CF21C">
      <w:start w:val="1"/>
      <w:numFmt w:val="bullet"/>
      <w:lvlText w:val="•"/>
      <w:lvlJc w:val="left"/>
      <w:pPr>
        <w:ind w:left="1080" w:hanging="360"/>
      </w:pPr>
    </w:lvl>
    <w:lvl w:ilvl="1" w:tplc="CEBC7C6C">
      <w:numFmt w:val="decimal"/>
      <w:lvlText w:val=""/>
      <w:lvlJc w:val="left"/>
    </w:lvl>
    <w:lvl w:ilvl="2" w:tplc="DAF44520">
      <w:numFmt w:val="decimal"/>
      <w:lvlText w:val=""/>
      <w:lvlJc w:val="left"/>
    </w:lvl>
    <w:lvl w:ilvl="3" w:tplc="4F3E7C2A">
      <w:numFmt w:val="decimal"/>
      <w:lvlText w:val=""/>
      <w:lvlJc w:val="left"/>
    </w:lvl>
    <w:lvl w:ilvl="4" w:tplc="C0DA1186">
      <w:numFmt w:val="decimal"/>
      <w:lvlText w:val=""/>
      <w:lvlJc w:val="left"/>
    </w:lvl>
    <w:lvl w:ilvl="5" w:tplc="C890E552">
      <w:numFmt w:val="decimal"/>
      <w:lvlText w:val=""/>
      <w:lvlJc w:val="left"/>
    </w:lvl>
    <w:lvl w:ilvl="6" w:tplc="FC8E70FE">
      <w:numFmt w:val="decimal"/>
      <w:lvlText w:val=""/>
      <w:lvlJc w:val="left"/>
    </w:lvl>
    <w:lvl w:ilvl="7" w:tplc="1E9E0C60">
      <w:numFmt w:val="decimal"/>
      <w:lvlText w:val=""/>
      <w:lvlJc w:val="left"/>
    </w:lvl>
    <w:lvl w:ilvl="8" w:tplc="4232D326">
      <w:numFmt w:val="decimal"/>
      <w:lvlText w:val=""/>
      <w:lvlJc w:val="left"/>
    </w:lvl>
  </w:abstractNum>
  <w:abstractNum w:abstractNumId="2" w15:restartNumberingAfterBreak="0">
    <w:nsid w:val="244A5197"/>
    <w:multiLevelType w:val="hybridMultilevel"/>
    <w:tmpl w:val="99FCEE18"/>
    <w:lvl w:ilvl="0" w:tplc="B5AABADA">
      <w:start w:val="1"/>
      <w:numFmt w:val="bullet"/>
      <w:lvlText w:val="•"/>
      <w:lvlJc w:val="left"/>
      <w:pPr>
        <w:ind w:left="720" w:hanging="360"/>
      </w:pPr>
    </w:lvl>
    <w:lvl w:ilvl="1" w:tplc="CD3894F6">
      <w:numFmt w:val="decimal"/>
      <w:lvlText w:val=""/>
      <w:lvlJc w:val="left"/>
    </w:lvl>
    <w:lvl w:ilvl="2" w:tplc="2D406A12">
      <w:numFmt w:val="decimal"/>
      <w:lvlText w:val=""/>
      <w:lvlJc w:val="left"/>
    </w:lvl>
    <w:lvl w:ilvl="3" w:tplc="BA1A18CA">
      <w:numFmt w:val="decimal"/>
      <w:lvlText w:val=""/>
      <w:lvlJc w:val="left"/>
    </w:lvl>
    <w:lvl w:ilvl="4" w:tplc="44E699EA">
      <w:numFmt w:val="decimal"/>
      <w:lvlText w:val=""/>
      <w:lvlJc w:val="left"/>
    </w:lvl>
    <w:lvl w:ilvl="5" w:tplc="2730E1AC">
      <w:numFmt w:val="decimal"/>
      <w:lvlText w:val=""/>
      <w:lvlJc w:val="left"/>
    </w:lvl>
    <w:lvl w:ilvl="6" w:tplc="379A8BBC">
      <w:numFmt w:val="decimal"/>
      <w:lvlText w:val=""/>
      <w:lvlJc w:val="left"/>
    </w:lvl>
    <w:lvl w:ilvl="7" w:tplc="3544C810">
      <w:numFmt w:val="decimal"/>
      <w:lvlText w:val=""/>
      <w:lvlJc w:val="left"/>
    </w:lvl>
    <w:lvl w:ilvl="8" w:tplc="B35657B4">
      <w:numFmt w:val="decimal"/>
      <w:lvlText w:val=""/>
      <w:lvlJc w:val="left"/>
    </w:lvl>
  </w:abstractNum>
  <w:abstractNum w:abstractNumId="3" w15:restartNumberingAfterBreak="0">
    <w:nsid w:val="4B8F6A69"/>
    <w:multiLevelType w:val="hybridMultilevel"/>
    <w:tmpl w:val="16D2C43C"/>
    <w:lvl w:ilvl="0" w:tplc="CA362F56">
      <w:start w:val="1"/>
      <w:numFmt w:val="bullet"/>
      <w:lvlText w:val="●"/>
      <w:lvlJc w:val="left"/>
      <w:pPr>
        <w:ind w:left="720" w:hanging="360"/>
      </w:pPr>
    </w:lvl>
    <w:lvl w:ilvl="1" w:tplc="4E404726">
      <w:start w:val="1"/>
      <w:numFmt w:val="bullet"/>
      <w:lvlText w:val="○"/>
      <w:lvlJc w:val="left"/>
      <w:pPr>
        <w:ind w:left="1440" w:hanging="360"/>
      </w:pPr>
    </w:lvl>
    <w:lvl w:ilvl="2" w:tplc="CEBED000">
      <w:start w:val="1"/>
      <w:numFmt w:val="bullet"/>
      <w:lvlText w:val="■"/>
      <w:lvlJc w:val="left"/>
      <w:pPr>
        <w:ind w:left="2160" w:hanging="360"/>
      </w:pPr>
    </w:lvl>
    <w:lvl w:ilvl="3" w:tplc="2C4CC5A2">
      <w:start w:val="1"/>
      <w:numFmt w:val="bullet"/>
      <w:lvlText w:val="●"/>
      <w:lvlJc w:val="left"/>
      <w:pPr>
        <w:ind w:left="2880" w:hanging="360"/>
      </w:pPr>
    </w:lvl>
    <w:lvl w:ilvl="4" w:tplc="8DAEF42C">
      <w:start w:val="1"/>
      <w:numFmt w:val="bullet"/>
      <w:lvlText w:val="○"/>
      <w:lvlJc w:val="left"/>
      <w:pPr>
        <w:ind w:left="3600" w:hanging="360"/>
      </w:pPr>
    </w:lvl>
    <w:lvl w:ilvl="5" w:tplc="DBE0BC4C">
      <w:start w:val="1"/>
      <w:numFmt w:val="bullet"/>
      <w:lvlText w:val="■"/>
      <w:lvlJc w:val="left"/>
      <w:pPr>
        <w:ind w:left="4320" w:hanging="360"/>
      </w:pPr>
    </w:lvl>
    <w:lvl w:ilvl="6" w:tplc="32066C98">
      <w:start w:val="1"/>
      <w:numFmt w:val="bullet"/>
      <w:lvlText w:val="●"/>
      <w:lvlJc w:val="left"/>
      <w:pPr>
        <w:ind w:left="5040" w:hanging="360"/>
      </w:pPr>
    </w:lvl>
    <w:lvl w:ilvl="7" w:tplc="97947F08">
      <w:start w:val="1"/>
      <w:numFmt w:val="bullet"/>
      <w:lvlText w:val="●"/>
      <w:lvlJc w:val="left"/>
      <w:pPr>
        <w:ind w:left="5760" w:hanging="360"/>
      </w:pPr>
    </w:lvl>
    <w:lvl w:ilvl="8" w:tplc="C84C90E2">
      <w:start w:val="1"/>
      <w:numFmt w:val="bullet"/>
      <w:lvlText w:val="●"/>
      <w:lvlJc w:val="left"/>
      <w:pPr>
        <w:ind w:left="6480" w:hanging="360"/>
      </w:pPr>
    </w:lvl>
  </w:abstractNum>
  <w:num w:numId="1" w16cid:durableId="929125281">
    <w:abstractNumId w:val="3"/>
    <w:lvlOverride w:ilvl="0">
      <w:startOverride w:val="1"/>
    </w:lvlOverride>
  </w:num>
  <w:num w:numId="2" w16cid:durableId="19217942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935"/>
    <w:rsid w:val="000A56E8"/>
    <w:rsid w:val="00221E53"/>
    <w:rsid w:val="007B6E00"/>
    <w:rsid w:val="00826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18BFC"/>
  <w15:docId w15:val="{CD076227-4F8F-4B02-AC31-8B2366436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4091</Words>
  <Characters>27181</Characters>
  <Application>Microsoft Office Word</Application>
  <DocSecurity>0</DocSecurity>
  <Lines>592</Lines>
  <Paragraphs>200</Paragraphs>
  <ScaleCrop>false</ScaleCrop>
  <Company/>
  <LinksUpToDate>false</LinksUpToDate>
  <CharactersWithSpaces>31126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McCoy</cp:lastModifiedBy>
  <cp:revision>2</cp:revision>
  <dcterms:created xsi:type="dcterms:W3CDTF">2026-03-12T01:31:00Z</dcterms:created>
  <dcterms:modified xsi:type="dcterms:W3CDTF">2026-03-12T01:31:00Z</dcterms:modified>
</cp:coreProperties>
</file>