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8A49" w14:textId="77777777" w:rsidR="00B277B6" w:rsidRDefault="00000000">
      <w:pPr>
        <w:spacing w:after="40"/>
        <w:rPr>
          <w:color w:val="666666"/>
          <w:sz w:val="20"/>
          <w:szCs w:val="20"/>
        </w:rPr>
      </w:pPr>
      <w:r>
        <w:rPr>
          <w:color w:val="666666"/>
          <w:sz w:val="20"/>
          <w:szCs w:val="20"/>
        </w:rPr>
        <w:t>CMGF Series 2026</w:t>
      </w:r>
    </w:p>
    <w:p w14:paraId="1C82EC83" w14:textId="77777777" w:rsidR="00B277B6" w:rsidRDefault="00000000">
      <w:pPr>
        <w:spacing w:after="40"/>
        <w:rPr>
          <w:b/>
          <w:bCs/>
          <w:color w:val="1F3864"/>
          <w:sz w:val="36"/>
          <w:szCs w:val="36"/>
        </w:rPr>
      </w:pPr>
      <w:r>
        <w:rPr>
          <w:b/>
          <w:bCs/>
          <w:color w:val="1F3864"/>
          <w:sz w:val="36"/>
          <w:szCs w:val="36"/>
        </w:rPr>
        <w:t>CMGF-06 Potential Authority Landscape</w:t>
      </w:r>
    </w:p>
    <w:p w14:paraId="65B816D5" w14:textId="77777777" w:rsidR="00B277B6" w:rsidRDefault="00000000">
      <w:pPr>
        <w:spacing w:after="40"/>
        <w:rPr>
          <w:color w:val="1F3864"/>
          <w:sz w:val="28"/>
          <w:szCs w:val="28"/>
        </w:rPr>
      </w:pPr>
      <w:r>
        <w:rPr>
          <w:color w:val="1F3864"/>
          <w:sz w:val="28"/>
          <w:szCs w:val="28"/>
        </w:rPr>
        <w:t>Career Mobility Governance Framework</w:t>
      </w:r>
    </w:p>
    <w:p w14:paraId="6250E0E3" w14:textId="77777777" w:rsidR="00B277B6" w:rsidRDefault="00000000">
      <w:pPr>
        <w:spacing w:after="120"/>
        <w:rPr>
          <w:i/>
          <w:iCs/>
          <w:color w:val="444444"/>
        </w:rPr>
      </w:pPr>
      <w:r>
        <w:rPr>
          <w:i/>
          <w:iCs/>
          <w:color w:val="444444"/>
        </w:rPr>
        <w:t>Institutional Stakeholders and Governance Domains That Benefit from Binding-Layer Infrastructure</w:t>
      </w:r>
    </w:p>
    <w:p w14:paraId="53D059CD" w14:textId="77777777" w:rsidR="00B277B6" w:rsidRDefault="00B277B6">
      <w:pPr>
        <w:pBdr>
          <w:bottom w:val="single" w:sz="6" w:space="1" w:color="1F3864"/>
        </w:pBdr>
      </w:pPr>
    </w:p>
    <w:p w14:paraId="7B11F88B" w14:textId="77777777" w:rsidR="00B277B6" w:rsidRDefault="00000000">
      <w:pPr>
        <w:spacing w:after="40"/>
        <w:rPr>
          <w:sz w:val="22"/>
          <w:szCs w:val="22"/>
        </w:rPr>
      </w:pPr>
      <w:r>
        <w:rPr>
          <w:sz w:val="22"/>
          <w:szCs w:val="22"/>
        </w:rPr>
        <w:t>Author: Robert E. McCoy</w:t>
      </w:r>
    </w:p>
    <w:p w14:paraId="7B78DBFC" w14:textId="77777777" w:rsidR="00B277B6" w:rsidRDefault="00000000">
      <w:pPr>
        <w:spacing w:after="240"/>
        <w:rPr>
          <w:sz w:val="22"/>
          <w:szCs w:val="22"/>
        </w:rPr>
      </w:pPr>
      <w:r>
        <w:rPr>
          <w:sz w:val="22"/>
          <w:szCs w:val="22"/>
        </w:rPr>
        <w:t>Prepared for: Policy Stakeholders, Institutional Leadership, Interagency Coordination Bodies</w:t>
      </w:r>
    </w:p>
    <w:p w14:paraId="669C5D89" w14:textId="77777777" w:rsidR="00B277B6" w:rsidRDefault="00000000">
      <w:pPr>
        <w:pStyle w:val="Heading1"/>
      </w:pPr>
      <w:r>
        <w:t>Executive Overview</w:t>
      </w:r>
    </w:p>
    <w:p w14:paraId="17BD4EE0" w14:textId="77777777" w:rsidR="00B277B6" w:rsidRDefault="00000000">
      <w:pPr>
        <w:spacing w:after="160"/>
      </w:pPr>
      <w:r>
        <w:t>The Career Mobility Governance Framework (CMGF) was developed and demonstrated within the context of military education services, specifically addressing the Education Services Officer (ESO) workflow and the CCME Track 1 pillars. However, the binding-layer architecture is not inherently limited to this single authority context. The structural problem CMGF addresses, fragmented institutional signals across decentralized authorities requiring human-governed integration at the point of decision-making, exists across multiple domains within the military transition ecosystem and beyond.</w:t>
      </w:r>
    </w:p>
    <w:p w14:paraId="5487B5C0" w14:textId="77777777" w:rsidR="00B277B6" w:rsidRDefault="00000000">
      <w:pPr>
        <w:spacing w:after="160"/>
      </w:pPr>
      <w:proofErr w:type="gramStart"/>
      <w:r>
        <w:t>This brief maps</w:t>
      </w:r>
      <w:proofErr w:type="gramEnd"/>
      <w:r>
        <w:t xml:space="preserve"> the landscape of institutional authorities that could benefit from CMGF’s binding-layer architecture. For each authority domain, it identifies the specific fragmentation problem, the signal types the binding layer would integrate, the governance constraints that would apply, and the institutional learning outputs that would result.</w:t>
      </w:r>
    </w:p>
    <w:p w14:paraId="75546070" w14:textId="77777777" w:rsidR="00B277B6" w:rsidRDefault="00000000">
      <w:pPr>
        <w:spacing w:after="160"/>
      </w:pPr>
      <w:r>
        <w:t xml:space="preserve">In all domains, the sandbox/transaction boundary documented in CMGF-04 </w:t>
      </w:r>
      <w:proofErr w:type="gramStart"/>
      <w:r>
        <w:t>applies:</w:t>
      </w:r>
      <w:proofErr w:type="gramEnd"/>
      <w:r>
        <w:t xml:space="preserve"> service member exploration is architecturally non-reportable, and only transactional events generate institutional signal. This document does not propose implementation in any domain. It documents architectural applicability to inform future concept development, pilot design, and interagency coordination.</w:t>
      </w:r>
    </w:p>
    <w:p w14:paraId="410492C9" w14:textId="77777777" w:rsidR="00B277B6" w:rsidRDefault="00000000">
      <w:pPr>
        <w:pStyle w:val="Heading2"/>
      </w:pPr>
      <w:r>
        <w:t>Applicability Criteria</w:t>
      </w:r>
    </w:p>
    <w:p w14:paraId="67800AA6" w14:textId="77777777" w:rsidR="00B277B6" w:rsidRDefault="00000000">
      <w:pPr>
        <w:spacing w:after="160"/>
      </w:pPr>
      <w:r>
        <w:t>CMGF’s binding-layer architecture is applicable in any domain where:</w:t>
      </w:r>
    </w:p>
    <w:p w14:paraId="36257625" w14:textId="77777777" w:rsidR="00B277B6" w:rsidRDefault="00000000">
      <w:pPr>
        <w:pStyle w:val="ListParagraph"/>
        <w:numPr>
          <w:ilvl w:val="0"/>
          <w:numId w:val="2"/>
        </w:numPr>
        <w:spacing w:after="80"/>
      </w:pPr>
      <w:r>
        <w:t>Multiple independent authorities issue rules, credentials, or determinations that affect the same individual.</w:t>
      </w:r>
    </w:p>
    <w:p w14:paraId="56323C3C" w14:textId="77777777" w:rsidR="00B277B6" w:rsidRDefault="00000000">
      <w:pPr>
        <w:pStyle w:val="ListParagraph"/>
        <w:numPr>
          <w:ilvl w:val="0"/>
          <w:numId w:val="2"/>
        </w:numPr>
        <w:spacing w:after="80"/>
      </w:pPr>
      <w:r>
        <w:t>No single authority holds the mandate to unify the information landscape.</w:t>
      </w:r>
    </w:p>
    <w:p w14:paraId="603DBEFC" w14:textId="77777777" w:rsidR="00B277B6" w:rsidRDefault="00000000">
      <w:pPr>
        <w:pStyle w:val="ListParagraph"/>
        <w:numPr>
          <w:ilvl w:val="0"/>
          <w:numId w:val="2"/>
        </w:numPr>
        <w:spacing w:after="80"/>
      </w:pPr>
      <w:r>
        <w:t>Advisors or case managers must manually integrate heterogeneous signals at the point of decision-making.</w:t>
      </w:r>
    </w:p>
    <w:p w14:paraId="3BD4A6AF" w14:textId="77777777" w:rsidR="00B277B6" w:rsidRDefault="00000000">
      <w:pPr>
        <w:pStyle w:val="ListParagraph"/>
        <w:numPr>
          <w:ilvl w:val="0"/>
          <w:numId w:val="2"/>
        </w:numPr>
        <w:spacing w:after="80"/>
      </w:pPr>
      <w:r>
        <w:t>The individual navigating the system bears a disproportionate cognitive burden relative to institutional complexity.</w:t>
      </w:r>
    </w:p>
    <w:p w14:paraId="680B58F2" w14:textId="77777777" w:rsidR="00B277B6" w:rsidRDefault="00000000">
      <w:pPr>
        <w:pStyle w:val="ListParagraph"/>
        <w:numPr>
          <w:ilvl w:val="0"/>
          <w:numId w:val="2"/>
        </w:numPr>
        <w:spacing w:after="80"/>
      </w:pPr>
      <w:r>
        <w:t xml:space="preserve">Institutional learning is constrained by the absence of structured, </w:t>
      </w:r>
      <w:proofErr w:type="gramStart"/>
      <w:r>
        <w:t>aggregate</w:t>
      </w:r>
      <w:proofErr w:type="gramEnd"/>
      <w:r>
        <w:t xml:space="preserve"> signal from individual interactions.</w:t>
      </w:r>
    </w:p>
    <w:p w14:paraId="16601FCC" w14:textId="77777777" w:rsidR="00B277B6" w:rsidRDefault="00000000">
      <w:r>
        <w:br w:type="page"/>
      </w:r>
    </w:p>
    <w:p w14:paraId="00B08D76" w14:textId="77777777" w:rsidR="00B277B6" w:rsidRDefault="00000000">
      <w:pPr>
        <w:pStyle w:val="Heading1"/>
      </w:pPr>
      <w:r>
        <w:lastRenderedPageBreak/>
        <w:t>Authority Domain Analysis</w:t>
      </w:r>
    </w:p>
    <w:p w14:paraId="102F8BC3" w14:textId="77777777" w:rsidR="00B277B6" w:rsidRDefault="00000000">
      <w:pPr>
        <w:pStyle w:val="Heading2"/>
      </w:pPr>
      <w:r>
        <w:t>Domain 1: Education Services (ESO)</w:t>
      </w:r>
    </w:p>
    <w:p w14:paraId="0B116B8C" w14:textId="77777777" w:rsidR="00B277B6" w:rsidRDefault="00000000">
      <w:pPr>
        <w:spacing w:after="160"/>
      </w:pPr>
      <w:r>
        <w:rPr>
          <w:b/>
          <w:bCs/>
        </w:rPr>
        <w:t xml:space="preserve">Current CMGF demonstration domain. </w:t>
      </w:r>
      <w:r>
        <w:t>Included here for completeness and as the baseline reference for other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123C0A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577F36"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B8164A" w14:textId="77777777" w:rsidR="00B277B6" w:rsidRDefault="00000000">
            <w:r>
              <w:rPr>
                <w:b/>
                <w:bCs/>
                <w:color w:val="FFFFFF"/>
                <w:sz w:val="21"/>
                <w:szCs w:val="21"/>
              </w:rPr>
              <w:t>Description</w:t>
            </w:r>
          </w:p>
        </w:tc>
      </w:tr>
      <w:tr w:rsidR="00B277B6" w14:paraId="4DB68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DB020"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A81E9" w14:textId="77777777" w:rsidR="00B277B6" w:rsidRDefault="00000000">
            <w:r>
              <w:rPr>
                <w:color w:val="000000"/>
                <w:sz w:val="21"/>
                <w:szCs w:val="21"/>
              </w:rPr>
              <w:t>TA eligibility, COOL/CA authorization, credential recognition, institutional transfer policies, and accreditation standards operate under independent authorities with no integrated visibility.</w:t>
            </w:r>
          </w:p>
        </w:tc>
      </w:tr>
      <w:tr w:rsidR="00B277B6" w14:paraId="594FA2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CCD8"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E5A01" w14:textId="77777777" w:rsidR="00B277B6" w:rsidRDefault="00000000">
            <w:r>
              <w:rPr>
                <w:color w:val="000000"/>
                <w:sz w:val="21"/>
                <w:szCs w:val="21"/>
              </w:rPr>
              <w:t>TA requests, COOL authorizations, credential pathway evaluations, in-processing baselines, out-processing transition assessments, constraint conflict patterns.</w:t>
            </w:r>
          </w:p>
        </w:tc>
      </w:tr>
      <w:tr w:rsidR="00B277B6" w14:paraId="7ACF2C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E6176"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DD272" w14:textId="77777777" w:rsidR="00B277B6" w:rsidRDefault="00000000">
            <w:r>
              <w:rPr>
                <w:color w:val="000000"/>
                <w:sz w:val="21"/>
                <w:szCs w:val="21"/>
              </w:rPr>
              <w:t>Non-predictive, non-automated. ESO retains approval authority. SM controls sandbox/transaction boundary.</w:t>
            </w:r>
          </w:p>
        </w:tc>
      </w:tr>
      <w:tr w:rsidR="00B277B6" w14:paraId="29906F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8BA66"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3C2AF" w14:textId="77777777" w:rsidR="00B277B6" w:rsidRDefault="00000000">
            <w:r>
              <w:rPr>
                <w:color w:val="000000"/>
                <w:sz w:val="21"/>
                <w:szCs w:val="21"/>
              </w:rPr>
              <w:t>Funding cap impact, credential pathway bottlenecks, issuer funnels, operational tempo effects on education participation.</w:t>
            </w:r>
          </w:p>
        </w:tc>
      </w:tr>
    </w:tbl>
    <w:p w14:paraId="2504A16E" w14:textId="77777777" w:rsidR="00B277B6" w:rsidRDefault="00B277B6">
      <w:pPr>
        <w:spacing w:after="160"/>
      </w:pPr>
    </w:p>
    <w:p w14:paraId="3DB1BB46" w14:textId="77777777" w:rsidR="00B277B6" w:rsidRDefault="00000000">
      <w:pPr>
        <w:pStyle w:val="Heading2"/>
      </w:pPr>
      <w:r>
        <w:t>Domain 2: Transition Assistance Program (TAP)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46B321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6A3CC0"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A9872A" w14:textId="77777777" w:rsidR="00B277B6" w:rsidRDefault="00000000">
            <w:r>
              <w:rPr>
                <w:b/>
                <w:bCs/>
                <w:color w:val="FFFFFF"/>
                <w:sz w:val="21"/>
                <w:szCs w:val="21"/>
              </w:rPr>
              <w:t>Description</w:t>
            </w:r>
          </w:p>
        </w:tc>
      </w:tr>
      <w:tr w:rsidR="00B277B6" w14:paraId="16847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9B932"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2982C" w14:textId="77777777" w:rsidR="00B277B6" w:rsidRDefault="00000000">
            <w:r>
              <w:rPr>
                <w:color w:val="000000"/>
                <w:sz w:val="21"/>
                <w:szCs w:val="21"/>
              </w:rPr>
              <w:t xml:space="preserve">TAP operates at the intersection of DoD (transition policy), VA (post-service benefits), </w:t>
            </w:r>
            <w:proofErr w:type="spellStart"/>
            <w:r>
              <w:rPr>
                <w:color w:val="000000"/>
                <w:sz w:val="21"/>
                <w:szCs w:val="21"/>
              </w:rPr>
              <w:t>DoL</w:t>
            </w:r>
            <w:proofErr w:type="spellEnd"/>
            <w:r>
              <w:rPr>
                <w:color w:val="000000"/>
                <w:sz w:val="21"/>
                <w:szCs w:val="21"/>
              </w:rPr>
              <w:t xml:space="preserve"> (workforce development, WIOA funding), and state-level employment services. Separating SMs must navigate eligibility rules, benefit timing, credential recognition, and labor market information across these independent authorities simultaneously.</w:t>
            </w:r>
          </w:p>
        </w:tc>
      </w:tr>
      <w:tr w:rsidR="00B277B6" w14:paraId="35122D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9A15D"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72D4" w14:textId="77777777" w:rsidR="00B277B6" w:rsidRDefault="00000000">
            <w:r>
              <w:rPr>
                <w:color w:val="000000"/>
                <w:sz w:val="21"/>
                <w:szCs w:val="21"/>
              </w:rPr>
              <w:t>Transition timeline events, credential-to-career mapping against BLS projections and O*NET crosswalks, benefit transition planning (active-duty to VA), skills translation outputs (MOS/AFSC to SOC code mapping), employer certification requirements by target industry and geography.</w:t>
            </w:r>
          </w:p>
        </w:tc>
      </w:tr>
      <w:tr w:rsidR="00B277B6" w14:paraId="454B6D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B0BF0" w14:textId="77777777" w:rsidR="00B277B6" w:rsidRDefault="00000000">
            <w:r>
              <w:rPr>
                <w:color w:val="000000"/>
                <w:sz w:val="21"/>
                <w:szCs w:val="21"/>
              </w:rPr>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BE1E" w14:textId="77777777" w:rsidR="00B277B6" w:rsidRDefault="00000000">
            <w:r>
              <w:rPr>
                <w:color w:val="000000"/>
                <w:sz w:val="21"/>
                <w:szCs w:val="21"/>
              </w:rPr>
              <w:t>Surfaces conflicts between active-duty benefit timing and VA benefit activation. Integrates labor market data at the point of transition planning rather than as a generic briefing. Maps credential gaps against specific target occupations. Identifies where transition planning starts too late relative to credential completion timelines.</w:t>
            </w:r>
          </w:p>
        </w:tc>
      </w:tr>
      <w:tr w:rsidR="00B277B6" w14:paraId="7DACE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63180"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E346" w14:textId="77777777" w:rsidR="00B277B6" w:rsidRDefault="00000000">
            <w:r>
              <w:rPr>
                <w:color w:val="000000"/>
                <w:sz w:val="21"/>
                <w:szCs w:val="21"/>
              </w:rPr>
              <w:t>Same CMGF constraints apply. Additionally, transition-specific constraints: no prediction of post-service employment outcomes, no scoring of transition readiness, no automated determination of VA benefit eligibility.</w:t>
            </w:r>
          </w:p>
        </w:tc>
      </w:tr>
      <w:tr w:rsidR="00B277B6" w14:paraId="427F9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F18CA"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EDD9" w14:textId="77777777" w:rsidR="00B277B6" w:rsidRDefault="00000000">
            <w:r>
              <w:rPr>
                <w:color w:val="000000"/>
                <w:sz w:val="21"/>
                <w:szCs w:val="21"/>
              </w:rPr>
              <w:t xml:space="preserve">Aggregate transition readiness patterns. Credential gap frequency by MOS category. Time-from-separation-to-employment correlation </w:t>
            </w:r>
            <w:r>
              <w:rPr>
                <w:color w:val="000000"/>
                <w:sz w:val="21"/>
                <w:szCs w:val="21"/>
              </w:rPr>
              <w:lastRenderedPageBreak/>
              <w:t>with planning engagement depth. Policy friction between active-duty and VA benefit systems.</w:t>
            </w:r>
          </w:p>
        </w:tc>
      </w:tr>
    </w:tbl>
    <w:p w14:paraId="32D3688E" w14:textId="77777777" w:rsidR="00B277B6" w:rsidRDefault="00B277B6">
      <w:pPr>
        <w:spacing w:after="160"/>
      </w:pPr>
    </w:p>
    <w:p w14:paraId="735EDEB5" w14:textId="77777777" w:rsidR="00B277B6" w:rsidRDefault="00000000">
      <w:pPr>
        <w:pStyle w:val="Heading2"/>
      </w:pPr>
      <w:r>
        <w:t>Domain 3: Credentialing Authorities (COOL / CA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669E05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92BEC4"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D262B" w14:textId="77777777" w:rsidR="00B277B6" w:rsidRDefault="00000000">
            <w:r>
              <w:rPr>
                <w:b/>
                <w:bCs/>
                <w:color w:val="FFFFFF"/>
                <w:sz w:val="21"/>
                <w:szCs w:val="21"/>
              </w:rPr>
              <w:t>Description</w:t>
            </w:r>
          </w:p>
        </w:tc>
      </w:tr>
      <w:tr w:rsidR="00B277B6" w14:paraId="756AE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D7CF"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90B7F" w14:textId="77777777" w:rsidR="00B277B6" w:rsidRDefault="00000000">
            <w:r>
              <w:rPr>
                <w:color w:val="000000"/>
                <w:sz w:val="21"/>
                <w:szCs w:val="21"/>
              </w:rPr>
              <w:t>Military credentialing programs (Army COOL, Navy COOL, Air Force COOL) operate under service-specific policies with different funding caps, eligibility criteria, and approved credential lists. Civilian certification bodies (CompTIA, PMI, AWS, ACEN) set independent prerequisites. State licensing boards impose jurisdiction-specific requirements. No integrated view exists across these authorities.</w:t>
            </w:r>
          </w:p>
        </w:tc>
      </w:tr>
      <w:tr w:rsidR="00B277B6" w14:paraId="7FCC3B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6A141"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4ED31" w14:textId="77777777" w:rsidR="00B277B6" w:rsidRDefault="00000000">
            <w:r>
              <w:rPr>
                <w:color w:val="000000"/>
                <w:sz w:val="21"/>
                <w:szCs w:val="21"/>
              </w:rPr>
              <w:t>CA authorization requests, certification exam scheduling, prerequisite satisfaction checks, cross-state licensure comparisons, credential stacking sequence evaluations, funding cap utilization tracking.</w:t>
            </w:r>
          </w:p>
        </w:tc>
      </w:tr>
      <w:tr w:rsidR="00B277B6" w14:paraId="0DBEB7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813E" w14:textId="77777777" w:rsidR="00B277B6" w:rsidRDefault="00000000">
            <w:r>
              <w:rPr>
                <w:color w:val="000000"/>
                <w:sz w:val="21"/>
                <w:szCs w:val="21"/>
              </w:rPr>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17B1" w14:textId="77777777" w:rsidR="00B277B6" w:rsidRDefault="00000000">
            <w:r>
              <w:rPr>
                <w:color w:val="000000"/>
                <w:sz w:val="21"/>
                <w:szCs w:val="21"/>
              </w:rPr>
              <w:t>Integrates COOL eligibility rules with civilian certification prerequisites and state licensing requirements in a single constraint evaluation. Surfaces conflicts between service-specific COOL policies and civilian credential sequencing requirements. Identifies where CA funding caps systematically prevent completion of credential stacks.</w:t>
            </w:r>
          </w:p>
        </w:tc>
      </w:tr>
      <w:tr w:rsidR="00B277B6" w14:paraId="7DF58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28B4F"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746D7" w14:textId="77777777" w:rsidR="00B277B6" w:rsidRDefault="00000000">
            <w:r>
              <w:rPr>
                <w:color w:val="000000"/>
                <w:sz w:val="21"/>
                <w:szCs w:val="21"/>
              </w:rPr>
              <w:t>No recommendation of specific certifications over others. No ranking of credential value. Deterministic eligibility checking only. Certification body authority over prerequisites is preserved as Tier B constraints.</w:t>
            </w:r>
          </w:p>
        </w:tc>
      </w:tr>
      <w:tr w:rsidR="00B277B6" w14:paraId="38B84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26639"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8685B" w14:textId="77777777" w:rsidR="00B277B6" w:rsidRDefault="00000000">
            <w:r>
              <w:rPr>
                <w:color w:val="000000"/>
                <w:sz w:val="21"/>
                <w:szCs w:val="21"/>
              </w:rPr>
              <w:t>Credential demand patterns by MOS. CA cap exhaustion rates and timing. Cross-service credential policy comparison. Certification pass/fail rates correlated with prerequisite pathway (where data is available from institutional sources).</w:t>
            </w:r>
          </w:p>
        </w:tc>
      </w:tr>
    </w:tbl>
    <w:p w14:paraId="10B397AB" w14:textId="77777777" w:rsidR="00B277B6" w:rsidRDefault="00B277B6">
      <w:pPr>
        <w:spacing w:after="160"/>
      </w:pPr>
    </w:p>
    <w:p w14:paraId="54CE3CC2" w14:textId="77777777" w:rsidR="00B277B6" w:rsidRDefault="00000000">
      <w:pPr>
        <w:pStyle w:val="Heading2"/>
      </w:pPr>
      <w:r>
        <w:t>Domain 4: Command and Installation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160DE2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FDBCD1"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414556" w14:textId="77777777" w:rsidR="00B277B6" w:rsidRDefault="00000000">
            <w:r>
              <w:rPr>
                <w:b/>
                <w:bCs/>
                <w:color w:val="FFFFFF"/>
                <w:sz w:val="21"/>
                <w:szCs w:val="21"/>
              </w:rPr>
              <w:t>Description</w:t>
            </w:r>
          </w:p>
        </w:tc>
      </w:tr>
      <w:tr w:rsidR="00B277B6" w14:paraId="79A0C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6E959"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2D9F7" w14:textId="77777777" w:rsidR="00B277B6" w:rsidRDefault="00000000">
            <w:r>
              <w:rPr>
                <w:color w:val="000000"/>
                <w:sz w:val="21"/>
                <w:szCs w:val="21"/>
              </w:rPr>
              <w:t>Command leadership receives education and transition reporting through manual ISR processes that capture activity volume without constraint context. No visibility into why participation rates look the way they do, where policy constraints create structural barriers, or how operational tempo affects education engagement.</w:t>
            </w:r>
          </w:p>
        </w:tc>
      </w:tr>
      <w:tr w:rsidR="00B277B6" w14:paraId="0011C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DE16D"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DD282" w14:textId="77777777" w:rsidR="00B277B6" w:rsidRDefault="00000000">
            <w:r>
              <w:rPr>
                <w:color w:val="000000"/>
                <w:sz w:val="21"/>
                <w:szCs w:val="21"/>
              </w:rPr>
              <w:t>Aggregated ISR analytics from all ESO transactions within the command. Queue depth and time-to-action metrics. Operational status impact on education engagement. Installation-level credential demand patterns. Funding shortfall evidence.</w:t>
            </w:r>
          </w:p>
        </w:tc>
      </w:tr>
      <w:tr w:rsidR="00B277B6" w14:paraId="34305E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6C2A4" w14:textId="77777777" w:rsidR="00B277B6" w:rsidRDefault="00000000">
            <w:r>
              <w:rPr>
                <w:color w:val="000000"/>
                <w:sz w:val="21"/>
                <w:szCs w:val="21"/>
              </w:rPr>
              <w:lastRenderedPageBreak/>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5F3A2" w14:textId="77777777" w:rsidR="00B277B6" w:rsidRDefault="00000000">
            <w:r>
              <w:rPr>
                <w:color w:val="000000"/>
                <w:sz w:val="21"/>
                <w:szCs w:val="21"/>
              </w:rPr>
              <w:t>Transforms ISR from compliance reporting to institutional learning. Provides evidence-based justification for education resource allocation, staffing requests, and policy reform proposals. Enables comparison across installations and time periods.</w:t>
            </w:r>
          </w:p>
        </w:tc>
      </w:tr>
      <w:tr w:rsidR="00B277B6" w14:paraId="48DC7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D387"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DB1D8" w14:textId="77777777" w:rsidR="00B277B6" w:rsidRDefault="00000000">
            <w:r>
              <w:rPr>
                <w:color w:val="000000"/>
                <w:sz w:val="21"/>
                <w:szCs w:val="21"/>
              </w:rPr>
              <w:t>Command leadership receives only de-identified aggregate output. No individual SM data. No retention prediction or risk scoring. Cohort thresholds enforced. Education engagement patterns cannot be used for individual performance evaluation.</w:t>
            </w:r>
          </w:p>
        </w:tc>
      </w:tr>
      <w:tr w:rsidR="00B277B6" w14:paraId="7961E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57DF8"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E7BD7" w14:textId="77777777" w:rsidR="00B277B6" w:rsidRDefault="00000000">
            <w:r>
              <w:rPr>
                <w:color w:val="000000"/>
                <w:sz w:val="21"/>
                <w:szCs w:val="21"/>
              </w:rPr>
              <w:t>Force-level education readiness assessment. Education system capacity analysis (ESO staffing adequacy relative to demand). Policy impact measurement (effect of funding cap changes on participation patterns). Cross-installation benchmarking.</w:t>
            </w:r>
          </w:p>
        </w:tc>
      </w:tr>
    </w:tbl>
    <w:p w14:paraId="3B91D7D8" w14:textId="77777777" w:rsidR="00B277B6" w:rsidRDefault="00B277B6">
      <w:pPr>
        <w:spacing w:after="160"/>
      </w:pPr>
    </w:p>
    <w:p w14:paraId="65124C90" w14:textId="77777777" w:rsidR="00B277B6" w:rsidRDefault="00000000">
      <w:pPr>
        <w:pStyle w:val="Heading2"/>
      </w:pPr>
      <w:r>
        <w:t>Domain 5: Higher Education Institutional Partners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55E761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101B04"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90EBE" w14:textId="77777777" w:rsidR="00B277B6" w:rsidRDefault="00000000">
            <w:r>
              <w:rPr>
                <w:b/>
                <w:bCs/>
                <w:color w:val="FFFFFF"/>
                <w:sz w:val="21"/>
                <w:szCs w:val="21"/>
              </w:rPr>
              <w:t>Description</w:t>
            </w:r>
          </w:p>
        </w:tc>
      </w:tr>
      <w:tr w:rsidR="00B277B6" w14:paraId="650CC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63FC"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F9390" w14:textId="77777777" w:rsidR="00B277B6" w:rsidRDefault="00000000">
            <w:r>
              <w:rPr>
                <w:color w:val="000000"/>
                <w:sz w:val="21"/>
                <w:szCs w:val="21"/>
              </w:rPr>
              <w:t>Colleges and universities serving military learners must independently interpret ACE credit recommendations, evaluate military training against program-specific prerequisites, and navigate TA/VA funding rules. Transfer credit policies vary by institution and often by individual evaluator. Military learners encounter inconsistent treatment across institutions.</w:t>
            </w:r>
          </w:p>
        </w:tc>
      </w:tr>
      <w:tr w:rsidR="00B277B6" w14:paraId="74E70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398CF"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074D" w14:textId="77777777" w:rsidR="00B277B6" w:rsidRDefault="00000000">
            <w:r>
              <w:rPr>
                <w:color w:val="000000"/>
                <w:sz w:val="21"/>
                <w:szCs w:val="21"/>
              </w:rPr>
              <w:t>Credit evaluation outcomes (recommended vs. awarded), program enrollment patterns, prerequisite satisfaction rates for military learners, credential completion rates by pathway, transfer credit acceptance rates.</w:t>
            </w:r>
          </w:p>
        </w:tc>
      </w:tr>
      <w:tr w:rsidR="00B277B6" w14:paraId="5BC858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628AF" w14:textId="77777777" w:rsidR="00B277B6" w:rsidRDefault="00000000">
            <w:r>
              <w:rPr>
                <w:color w:val="000000"/>
                <w:sz w:val="21"/>
                <w:szCs w:val="21"/>
              </w:rPr>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3B44B" w14:textId="77777777" w:rsidR="00B277B6" w:rsidRDefault="00000000">
            <w:r>
              <w:rPr>
                <w:color w:val="000000"/>
                <w:sz w:val="21"/>
                <w:szCs w:val="21"/>
              </w:rPr>
              <w:t xml:space="preserve">Encodes institutional transfer policies </w:t>
            </w:r>
            <w:proofErr w:type="gramStart"/>
            <w:r>
              <w:rPr>
                <w:color w:val="000000"/>
                <w:sz w:val="21"/>
                <w:szCs w:val="21"/>
              </w:rPr>
              <w:t>as</w:t>
            </w:r>
            <w:proofErr w:type="gramEnd"/>
            <w:r>
              <w:rPr>
                <w:color w:val="000000"/>
                <w:sz w:val="21"/>
                <w:szCs w:val="21"/>
              </w:rPr>
              <w:t xml:space="preserve"> Tier C constraints visible to SMs and advisors before enrollment decisions are made. Surfaces discrepancies between ACE recommendations and institutional credit awards. Enables institutions to see how their policies compare to peer institutions serving the same military population.</w:t>
            </w:r>
          </w:p>
        </w:tc>
      </w:tr>
      <w:tr w:rsidR="00B277B6" w14:paraId="3EC52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28CD"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17FD" w14:textId="77777777" w:rsidR="00B277B6" w:rsidRDefault="00000000">
            <w:r>
              <w:rPr>
                <w:color w:val="000000"/>
                <w:sz w:val="21"/>
                <w:szCs w:val="21"/>
              </w:rPr>
              <w:t xml:space="preserve">Institutional academic freedom </w:t>
            </w:r>
            <w:proofErr w:type="gramStart"/>
            <w:r>
              <w:rPr>
                <w:color w:val="000000"/>
                <w:sz w:val="21"/>
                <w:szCs w:val="21"/>
              </w:rPr>
              <w:t>fully</w:t>
            </w:r>
            <w:proofErr w:type="gramEnd"/>
            <w:r>
              <w:rPr>
                <w:color w:val="000000"/>
                <w:sz w:val="21"/>
                <w:szCs w:val="21"/>
              </w:rPr>
              <w:t xml:space="preserve"> preserved. CMGF encodes institutional policies as-is; it does not evaluate, rank, or recommend institutions. Tier C constraints are institution-specific and do not override institutional authority.</w:t>
            </w:r>
          </w:p>
        </w:tc>
      </w:tr>
      <w:tr w:rsidR="00B277B6" w14:paraId="7025E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7314"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E88E0" w14:textId="77777777" w:rsidR="00B277B6" w:rsidRDefault="00000000">
            <w:r>
              <w:rPr>
                <w:color w:val="000000"/>
                <w:sz w:val="21"/>
                <w:szCs w:val="21"/>
              </w:rPr>
              <w:t>Aggregate patterns of credit loss between military training and institutional award. Identification of where institutional policies create systematic barriers for specific MOS categories. Evidence for institutional policy review and articulation agreement development.</w:t>
            </w:r>
          </w:p>
        </w:tc>
      </w:tr>
    </w:tbl>
    <w:p w14:paraId="78E4F6F7" w14:textId="77777777" w:rsidR="00B277B6" w:rsidRDefault="00B277B6">
      <w:pPr>
        <w:spacing w:after="160"/>
      </w:pPr>
    </w:p>
    <w:p w14:paraId="02E35559" w14:textId="77777777" w:rsidR="00B277B6" w:rsidRDefault="00000000">
      <w:pPr>
        <w:pStyle w:val="Heading2"/>
      </w:pPr>
      <w:r>
        <w:t>Domain 6: Workforce Development and Employment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394FB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4DF54C"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C846C4" w14:textId="77777777" w:rsidR="00B277B6" w:rsidRDefault="00000000">
            <w:r>
              <w:rPr>
                <w:b/>
                <w:bCs/>
                <w:color w:val="FFFFFF"/>
                <w:sz w:val="21"/>
                <w:szCs w:val="21"/>
              </w:rPr>
              <w:t>Description</w:t>
            </w:r>
          </w:p>
        </w:tc>
      </w:tr>
      <w:tr w:rsidR="00B277B6" w14:paraId="00111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DE54" w14:textId="77777777" w:rsidR="00B277B6" w:rsidRDefault="00000000">
            <w:r>
              <w:rPr>
                <w:color w:val="000000"/>
                <w:sz w:val="21"/>
                <w:szCs w:val="21"/>
              </w:rPr>
              <w:lastRenderedPageBreak/>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10ECA" w14:textId="77777777" w:rsidR="00B277B6" w:rsidRDefault="00000000">
            <w:r>
              <w:rPr>
                <w:color w:val="000000"/>
                <w:sz w:val="21"/>
                <w:szCs w:val="21"/>
              </w:rPr>
              <w:t>Department of Labor workforce development programs (WIOA, American Job Centers), state employment services, and employer hiring systems operate independently from military education and credentialing systems. Veterans entering the civilian workforce must re-establish credential legibility in each new context.</w:t>
            </w:r>
          </w:p>
        </w:tc>
      </w:tr>
      <w:tr w:rsidR="00B277B6" w14:paraId="22D14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D825E"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1EE6" w14:textId="77777777" w:rsidR="00B277B6" w:rsidRDefault="00000000">
            <w:r>
              <w:rPr>
                <w:color w:val="000000"/>
                <w:sz w:val="21"/>
                <w:szCs w:val="21"/>
              </w:rPr>
              <w:t>MOS-to-SOC crosswalk utilization, BLS projection alignment with credential pathway choices, employer certification requirement matching, geographic labor market demand patterns, skills-based hiring signal from employer databases.</w:t>
            </w:r>
          </w:p>
        </w:tc>
      </w:tr>
      <w:tr w:rsidR="00B277B6" w14:paraId="126EE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3E2A" w14:textId="77777777" w:rsidR="00B277B6" w:rsidRDefault="00000000">
            <w:r>
              <w:rPr>
                <w:color w:val="000000"/>
                <w:sz w:val="21"/>
                <w:szCs w:val="21"/>
              </w:rPr>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E9FA2" w14:textId="77777777" w:rsidR="00B277B6" w:rsidRDefault="00000000">
            <w:r>
              <w:rPr>
                <w:color w:val="000000"/>
                <w:sz w:val="21"/>
                <w:szCs w:val="21"/>
              </w:rPr>
              <w:t xml:space="preserve">Integrates labor market data as Tier D contextual signals within the constraint evaluation. </w:t>
            </w:r>
            <w:proofErr w:type="gramStart"/>
            <w:r>
              <w:rPr>
                <w:color w:val="000000"/>
                <w:sz w:val="21"/>
                <w:szCs w:val="21"/>
              </w:rPr>
              <w:t>Enables</w:t>
            </w:r>
            <w:proofErr w:type="gramEnd"/>
            <w:r>
              <w:rPr>
                <w:color w:val="000000"/>
                <w:sz w:val="21"/>
                <w:szCs w:val="21"/>
              </w:rPr>
              <w:t xml:space="preserve"> transitioning SMs to see how their credential portfolio maps to specific employer requirements in target geographies. Surfaces where military credential recognition is weakest relative to labor market demand.</w:t>
            </w:r>
          </w:p>
        </w:tc>
      </w:tr>
      <w:tr w:rsidR="00B277B6" w14:paraId="44845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C0F3B"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12C11" w14:textId="77777777" w:rsidR="00B277B6" w:rsidRDefault="00000000">
            <w:r>
              <w:rPr>
                <w:color w:val="000000"/>
                <w:sz w:val="21"/>
                <w:szCs w:val="21"/>
              </w:rPr>
              <w:t>Labor market data is strictly Tier D: informational, never prescriptive. No prediction of individual employment outcomes. No ranking of employers or career paths. BLS projections presented with uncertainty context.</w:t>
            </w:r>
          </w:p>
        </w:tc>
      </w:tr>
      <w:tr w:rsidR="00B277B6" w14:paraId="72729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6BA77" w14:textId="77777777" w:rsidR="00B277B6" w:rsidRDefault="00000000">
            <w:r>
              <w:rPr>
                <w:color w:val="000000"/>
                <w:sz w:val="21"/>
                <w:szCs w:val="21"/>
              </w:rPr>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C360D" w14:textId="77777777" w:rsidR="00B277B6" w:rsidRDefault="00000000">
            <w:r>
              <w:rPr>
                <w:color w:val="000000"/>
                <w:sz w:val="21"/>
                <w:szCs w:val="21"/>
              </w:rPr>
              <w:t>Aggregate credential-to-career alignment patterns. Identification of occupational categories where military credential recognition is systematically weak. Geographic demand concentration for specific military-adjacent skill sets. Evidence for employer engagement and credential recognition advocacy.</w:t>
            </w:r>
          </w:p>
        </w:tc>
      </w:tr>
    </w:tbl>
    <w:p w14:paraId="30AD2028" w14:textId="77777777" w:rsidR="00B277B6" w:rsidRDefault="00B277B6">
      <w:pPr>
        <w:spacing w:after="160"/>
      </w:pPr>
    </w:p>
    <w:p w14:paraId="7CB76316" w14:textId="77777777" w:rsidR="00B277B6" w:rsidRDefault="00000000">
      <w:pPr>
        <w:pStyle w:val="Heading2"/>
      </w:pPr>
      <w:r>
        <w:t>Domain 7: Department of Veterans Affairs (Post-Service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77B6" w14:paraId="1D7693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614AEA" w14:textId="77777777" w:rsidR="00B277B6" w:rsidRDefault="00000000">
            <w:r>
              <w:rPr>
                <w:b/>
                <w:bCs/>
                <w:color w:val="FFFFFF"/>
                <w:sz w:val="21"/>
                <w:szCs w:val="21"/>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83B9AB" w14:textId="77777777" w:rsidR="00B277B6" w:rsidRDefault="00000000">
            <w:r>
              <w:rPr>
                <w:b/>
                <w:bCs/>
                <w:color w:val="FFFFFF"/>
                <w:sz w:val="21"/>
                <w:szCs w:val="21"/>
              </w:rPr>
              <w:t>Description</w:t>
            </w:r>
          </w:p>
        </w:tc>
      </w:tr>
      <w:tr w:rsidR="00B277B6" w14:paraId="2B227C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B43E" w14:textId="77777777" w:rsidR="00B277B6" w:rsidRDefault="00000000">
            <w:r>
              <w:rPr>
                <w:color w:val="000000"/>
                <w:sz w:val="21"/>
                <w:szCs w:val="21"/>
              </w:rPr>
              <w:t>Fragmentation 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48FEE" w14:textId="77777777" w:rsidR="00B277B6" w:rsidRDefault="00000000">
            <w:r>
              <w:rPr>
                <w:color w:val="000000"/>
                <w:sz w:val="21"/>
                <w:szCs w:val="21"/>
              </w:rPr>
              <w:t>The transition from active-duty education benefits (TA, CA, COOL) to VA education benefits (Post-9/11 GI Bill, VR&amp;E) involves a change in governing authority, eligibility rules, institutional approval processes, and benefit structures. SMs approaching transition must navigate this handoff with limited integrated guidance.</w:t>
            </w:r>
          </w:p>
        </w:tc>
      </w:tr>
      <w:tr w:rsidR="00B277B6" w14:paraId="6BCA05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B0DD9" w14:textId="77777777" w:rsidR="00B277B6" w:rsidRDefault="00000000">
            <w:r>
              <w:rPr>
                <w:color w:val="000000"/>
                <w:sz w:val="21"/>
                <w:szCs w:val="21"/>
              </w:rPr>
              <w:t>Signal Types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F31E5" w14:textId="77777777" w:rsidR="00B277B6" w:rsidRDefault="00000000">
            <w:r>
              <w:rPr>
                <w:color w:val="000000"/>
                <w:sz w:val="21"/>
                <w:szCs w:val="21"/>
              </w:rPr>
              <w:t>Benefit transition timing, remaining TA entitlement vs. GI Bill eligibility, credential continuity across the active-to-veteran boundary, program approval differences between DoD and VA.</w:t>
            </w:r>
          </w:p>
        </w:tc>
      </w:tr>
      <w:tr w:rsidR="00B277B6" w14:paraId="6BA62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0E4A7" w14:textId="77777777" w:rsidR="00B277B6" w:rsidRDefault="00000000">
            <w:r>
              <w:rPr>
                <w:color w:val="000000"/>
                <w:sz w:val="21"/>
                <w:szCs w:val="21"/>
              </w:rPr>
              <w:t>Binding Layer 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0B900" w14:textId="77777777" w:rsidR="00B277B6" w:rsidRDefault="00000000">
            <w:r>
              <w:rPr>
                <w:color w:val="000000"/>
                <w:sz w:val="21"/>
                <w:szCs w:val="21"/>
              </w:rPr>
              <w:t>Surfaces conflicts between active-duty benefit utilization and post-service benefit planning. Identifies where credential sequences started under TA cannot be completed under VA rules (or vice versa). Enables pre-separation visibility into post-service benefit landscape.</w:t>
            </w:r>
          </w:p>
        </w:tc>
      </w:tr>
      <w:tr w:rsidR="00B277B6" w14:paraId="5D6A28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1288" w14:textId="77777777" w:rsidR="00B277B6" w:rsidRDefault="00000000">
            <w:r>
              <w:rPr>
                <w:color w:val="000000"/>
                <w:sz w:val="21"/>
                <w:szCs w:val="21"/>
              </w:rPr>
              <w:t>Governance Constraints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4DE1E" w14:textId="77777777" w:rsidR="00B277B6" w:rsidRDefault="00000000">
            <w:r>
              <w:rPr>
                <w:color w:val="000000"/>
                <w:sz w:val="21"/>
                <w:szCs w:val="21"/>
              </w:rPr>
              <w:t>CMGF does not determine VA eligibility. VA authority is Tier A (statutory). The binding layer encodes VA rules for informational planning purposes only. All VA benefit determinations remain under VA authority. The active-duty CMGF pipeline explicitly excludes VA benefit administration.</w:t>
            </w:r>
          </w:p>
        </w:tc>
      </w:tr>
      <w:tr w:rsidR="00B277B6" w14:paraId="5A39D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4230" w14:textId="77777777" w:rsidR="00B277B6" w:rsidRDefault="00000000">
            <w:r>
              <w:rPr>
                <w:color w:val="000000"/>
                <w:sz w:val="21"/>
                <w:szCs w:val="21"/>
              </w:rPr>
              <w:lastRenderedPageBreak/>
              <w:t>Institutional Learning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910E3" w14:textId="77777777" w:rsidR="00B277B6" w:rsidRDefault="00000000">
            <w:r>
              <w:rPr>
                <w:color w:val="000000"/>
                <w:sz w:val="21"/>
                <w:szCs w:val="21"/>
              </w:rPr>
              <w:t>Aggregate patterns of benefit transition friction. Identification of where active-duty credential investments are stranded by VA program rules. Evidence for interagency policy harmonization between DoD and VA education authorities.</w:t>
            </w:r>
          </w:p>
        </w:tc>
      </w:tr>
    </w:tbl>
    <w:p w14:paraId="774A39BF" w14:textId="77777777" w:rsidR="00B277B6" w:rsidRDefault="00000000">
      <w:r>
        <w:br w:type="page"/>
      </w:r>
    </w:p>
    <w:p w14:paraId="75963D49" w14:textId="77777777" w:rsidR="00B277B6" w:rsidRDefault="00000000">
      <w:pPr>
        <w:pStyle w:val="Heading1"/>
      </w:pPr>
      <w:r>
        <w:lastRenderedPageBreak/>
        <w:t>Cross-Domain Integration Value</w:t>
      </w:r>
    </w:p>
    <w:p w14:paraId="1FB9FEC0" w14:textId="77777777" w:rsidR="00B277B6" w:rsidRDefault="00000000">
      <w:pPr>
        <w:spacing w:after="160"/>
      </w:pPr>
      <w:r>
        <w:t>The binding-layer architecture’s value increases with each additional authority domain integrated because the core problem is fragmentation across domains, not complexity within any single domain. An ESO managing TA approvals within a single authority context faces a manageable problem. An ESO helping a transitioning SM navigate TA rules, COOL eligibility, state licensure requirements, VA benefit timing, institutional transfer policies, and labor market signaling simultaneously faces a problem that exceeds human cognitive capacity at scale.</w:t>
      </w:r>
    </w:p>
    <w:p w14:paraId="3D6ECE83" w14:textId="77777777" w:rsidR="00B277B6" w:rsidRDefault="00000000">
      <w:pPr>
        <w:spacing w:after="160"/>
      </w:pPr>
      <w:r>
        <w:t>CMGF’s twelve-layer architecture is designed for this multi-authority environment. The four-tier authority classification (Statutory, Credentialing, Institutional, Descriptive) applies uniformly across all domains. The constraint binding engine evaluates rules from any authority without conflating their governance weight. The de-identification firewall produces aggregate institutional learning that spans authority boundaries, surfacing cross-domain friction that no single authority can observe from within its own reporting.</w:t>
      </w:r>
    </w:p>
    <w:p w14:paraId="5EF54B5C" w14:textId="77777777" w:rsidR="00B277B6" w:rsidRDefault="00000000">
      <w:pPr>
        <w:spacing w:after="160"/>
      </w:pPr>
      <w:r>
        <w:t>The governed evidence cycle closes across domains: individual planning friction in any authority context becomes collective intelligence visible to all stakeholders, driving policy reform that flows back into updated rules in the binding layer. The ISR signal architecture documented in CMGF-04 aggregates de-identified transactional signal from all connected channels into a unified, multi-channel installation readiness picture, enabling cross-domain institutional learning that no single authority can achieve from within its own reporting.</w:t>
      </w:r>
    </w:p>
    <w:p w14:paraId="0358E51D" w14:textId="77777777" w:rsidR="00B277B6" w:rsidRDefault="00000000">
      <w:pPr>
        <w:pStyle w:val="Heading1"/>
      </w:pPr>
      <w:r>
        <w:t>Implementation Boundaries</w:t>
      </w:r>
    </w:p>
    <w:p w14:paraId="045A311A" w14:textId="77777777" w:rsidR="00B277B6" w:rsidRDefault="00000000">
      <w:pPr>
        <w:spacing w:after="160"/>
      </w:pPr>
      <w:r>
        <w:t xml:space="preserve">This document identifies architectural applicability, not implementation proposals. Each </w:t>
      </w:r>
      <w:proofErr w:type="gramStart"/>
      <w:r>
        <w:t>authority domain</w:t>
      </w:r>
      <w:proofErr w:type="gramEnd"/>
      <w:r>
        <w:t xml:space="preserve"> requires its own governance authorization, institutional partnership development, rule base encoding effort, and pilot validation. CMGF’s architecture supports incremental domain integration: additional authority domains can be added to the binding layer without requiring architectural redesign, because the four-tier authority classification and twelve-layer architecture are domain-agnostic by design.</w:t>
      </w:r>
    </w:p>
    <w:p w14:paraId="131A6254" w14:textId="77777777" w:rsidR="00B277B6" w:rsidRDefault="00000000">
      <w:pPr>
        <w:spacing w:after="160"/>
      </w:pPr>
      <w:r>
        <w:t>The recommended approach is to establish CMGF within the ESO/education services domain first, demonstrate institutional learning value, and then extend to adjacent domains (credentialing, transition, workforce development) as governance readiness and institutional partnerships mature. Each extension adds signal to the aggregate intelligence without altering the core governance constraints: no prediction, no optimization, no profiling, no automated decisions, and sandbox exploration remains private and non-reportable in every domain. Deferred upstream infrastructure components, including the Sovereign Credential Ledger and Credit Clearing House partnership documented in CMGF-05, would improve data quality flowing into the binding layer across all domains.</w:t>
      </w:r>
    </w:p>
    <w:sectPr w:rsidR="00B277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91555" w14:textId="77777777" w:rsidR="0016090B" w:rsidRDefault="0016090B">
      <w:r>
        <w:separator/>
      </w:r>
    </w:p>
  </w:endnote>
  <w:endnote w:type="continuationSeparator" w:id="0">
    <w:p w14:paraId="0BCF96A7" w14:textId="77777777" w:rsidR="0016090B" w:rsidRDefault="00160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4613" w14:textId="77777777" w:rsidR="00B277B6" w:rsidRDefault="00000000">
    <w:pPr>
      <w:pBdr>
        <w:top w:val="single" w:sz="4" w:space="1" w:color="CCCCCC"/>
      </w:pBdr>
      <w:tabs>
        <w:tab w:val="right" w:pos="9026"/>
      </w:tabs>
    </w:pPr>
    <w:r>
      <w:rPr>
        <w:color w:val="888888"/>
        <w:sz w:val="18"/>
        <w:szCs w:val="18"/>
      </w:rPr>
      <w:t xml:space="preserve">CMGF Series </w:t>
    </w:r>
    <w:proofErr w:type="gramStart"/>
    <w:r>
      <w:rPr>
        <w:color w:val="888888"/>
        <w:sz w:val="18"/>
        <w:szCs w:val="18"/>
      </w:rPr>
      <w:t>2026  |</w:t>
    </w:r>
    <w:proofErr w:type="gramEnd"/>
    <w:r>
      <w:rPr>
        <w:color w:val="888888"/>
        <w:sz w:val="18"/>
        <w:szCs w:val="18"/>
      </w:rPr>
      <w:t xml:space="preserve">  McCoy</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8673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A148" w14:textId="77777777" w:rsidR="0016090B" w:rsidRDefault="0016090B">
      <w:r>
        <w:separator/>
      </w:r>
    </w:p>
  </w:footnote>
  <w:footnote w:type="continuationSeparator" w:id="0">
    <w:p w14:paraId="043CAA62" w14:textId="77777777" w:rsidR="0016090B" w:rsidRDefault="00160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AAB9" w14:textId="77777777" w:rsidR="00B277B6" w:rsidRDefault="00000000">
    <w:pPr>
      <w:pBdr>
        <w:bottom w:val="single" w:sz="4" w:space="1" w:color="CCCCCC"/>
      </w:pBdr>
    </w:pPr>
    <w:r>
      <w:rPr>
        <w:i/>
        <w:iCs/>
        <w:color w:val="888888"/>
        <w:sz w:val="18"/>
        <w:szCs w:val="18"/>
      </w:rPr>
      <w:t>CMGF-06 Potential Authority Landscape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90ED3"/>
    <w:multiLevelType w:val="hybridMultilevel"/>
    <w:tmpl w:val="F27ACD28"/>
    <w:lvl w:ilvl="0" w:tplc="1DE8C4E2">
      <w:start w:val="1"/>
      <w:numFmt w:val="bullet"/>
      <w:lvlText w:val="•"/>
      <w:lvlJc w:val="left"/>
      <w:pPr>
        <w:ind w:left="720" w:hanging="360"/>
      </w:pPr>
    </w:lvl>
    <w:lvl w:ilvl="1" w:tplc="9D681448">
      <w:numFmt w:val="decimal"/>
      <w:lvlText w:val=""/>
      <w:lvlJc w:val="left"/>
    </w:lvl>
    <w:lvl w:ilvl="2" w:tplc="6936BBF2">
      <w:numFmt w:val="decimal"/>
      <w:lvlText w:val=""/>
      <w:lvlJc w:val="left"/>
    </w:lvl>
    <w:lvl w:ilvl="3" w:tplc="A324193C">
      <w:numFmt w:val="decimal"/>
      <w:lvlText w:val=""/>
      <w:lvlJc w:val="left"/>
    </w:lvl>
    <w:lvl w:ilvl="4" w:tplc="51489CF6">
      <w:numFmt w:val="decimal"/>
      <w:lvlText w:val=""/>
      <w:lvlJc w:val="left"/>
    </w:lvl>
    <w:lvl w:ilvl="5" w:tplc="FC96978A">
      <w:numFmt w:val="decimal"/>
      <w:lvlText w:val=""/>
      <w:lvlJc w:val="left"/>
    </w:lvl>
    <w:lvl w:ilvl="6" w:tplc="140C94A2">
      <w:numFmt w:val="decimal"/>
      <w:lvlText w:val=""/>
      <w:lvlJc w:val="left"/>
    </w:lvl>
    <w:lvl w:ilvl="7" w:tplc="89C496F6">
      <w:numFmt w:val="decimal"/>
      <w:lvlText w:val=""/>
      <w:lvlJc w:val="left"/>
    </w:lvl>
    <w:lvl w:ilvl="8" w:tplc="EF345A5C">
      <w:numFmt w:val="decimal"/>
      <w:lvlText w:val=""/>
      <w:lvlJc w:val="left"/>
    </w:lvl>
  </w:abstractNum>
  <w:abstractNum w:abstractNumId="1" w15:restartNumberingAfterBreak="0">
    <w:nsid w:val="3E3B2F3A"/>
    <w:multiLevelType w:val="hybridMultilevel"/>
    <w:tmpl w:val="F3140870"/>
    <w:lvl w:ilvl="0" w:tplc="1B001D8A">
      <w:start w:val="1"/>
      <w:numFmt w:val="bullet"/>
      <w:lvlText w:val="●"/>
      <w:lvlJc w:val="left"/>
      <w:pPr>
        <w:ind w:left="720" w:hanging="360"/>
      </w:pPr>
    </w:lvl>
    <w:lvl w:ilvl="1" w:tplc="B8E6EEEE">
      <w:start w:val="1"/>
      <w:numFmt w:val="bullet"/>
      <w:lvlText w:val="○"/>
      <w:lvlJc w:val="left"/>
      <w:pPr>
        <w:ind w:left="1440" w:hanging="360"/>
      </w:pPr>
    </w:lvl>
    <w:lvl w:ilvl="2" w:tplc="C818E1FC">
      <w:start w:val="1"/>
      <w:numFmt w:val="bullet"/>
      <w:lvlText w:val="■"/>
      <w:lvlJc w:val="left"/>
      <w:pPr>
        <w:ind w:left="2160" w:hanging="360"/>
      </w:pPr>
    </w:lvl>
    <w:lvl w:ilvl="3" w:tplc="197E5FA0">
      <w:start w:val="1"/>
      <w:numFmt w:val="bullet"/>
      <w:lvlText w:val="●"/>
      <w:lvlJc w:val="left"/>
      <w:pPr>
        <w:ind w:left="2880" w:hanging="360"/>
      </w:pPr>
    </w:lvl>
    <w:lvl w:ilvl="4" w:tplc="DDAEE618">
      <w:start w:val="1"/>
      <w:numFmt w:val="bullet"/>
      <w:lvlText w:val="○"/>
      <w:lvlJc w:val="left"/>
      <w:pPr>
        <w:ind w:left="3600" w:hanging="360"/>
      </w:pPr>
    </w:lvl>
    <w:lvl w:ilvl="5" w:tplc="E67CB4A0">
      <w:start w:val="1"/>
      <w:numFmt w:val="bullet"/>
      <w:lvlText w:val="■"/>
      <w:lvlJc w:val="left"/>
      <w:pPr>
        <w:ind w:left="4320" w:hanging="360"/>
      </w:pPr>
    </w:lvl>
    <w:lvl w:ilvl="6" w:tplc="0A827B76">
      <w:start w:val="1"/>
      <w:numFmt w:val="bullet"/>
      <w:lvlText w:val="●"/>
      <w:lvlJc w:val="left"/>
      <w:pPr>
        <w:ind w:left="5040" w:hanging="360"/>
      </w:pPr>
    </w:lvl>
    <w:lvl w:ilvl="7" w:tplc="D850F8D4">
      <w:start w:val="1"/>
      <w:numFmt w:val="bullet"/>
      <w:lvlText w:val="●"/>
      <w:lvlJc w:val="left"/>
      <w:pPr>
        <w:ind w:left="5760" w:hanging="360"/>
      </w:pPr>
    </w:lvl>
    <w:lvl w:ilvl="8" w:tplc="7B5876D4">
      <w:start w:val="1"/>
      <w:numFmt w:val="bullet"/>
      <w:lvlText w:val="●"/>
      <w:lvlJc w:val="left"/>
      <w:pPr>
        <w:ind w:left="6480" w:hanging="360"/>
      </w:pPr>
    </w:lvl>
  </w:abstractNum>
  <w:abstractNum w:abstractNumId="2" w15:restartNumberingAfterBreak="0">
    <w:nsid w:val="5099520C"/>
    <w:multiLevelType w:val="hybridMultilevel"/>
    <w:tmpl w:val="AE9AB7F6"/>
    <w:lvl w:ilvl="0" w:tplc="F424BC00">
      <w:start w:val="1"/>
      <w:numFmt w:val="decimal"/>
      <w:lvlText w:val="%1."/>
      <w:lvlJc w:val="left"/>
      <w:pPr>
        <w:ind w:left="720" w:hanging="360"/>
      </w:pPr>
    </w:lvl>
    <w:lvl w:ilvl="1" w:tplc="FB104AA2">
      <w:numFmt w:val="decimal"/>
      <w:lvlText w:val=""/>
      <w:lvlJc w:val="left"/>
    </w:lvl>
    <w:lvl w:ilvl="2" w:tplc="912497CE">
      <w:numFmt w:val="decimal"/>
      <w:lvlText w:val=""/>
      <w:lvlJc w:val="left"/>
    </w:lvl>
    <w:lvl w:ilvl="3" w:tplc="3EC6BDF4">
      <w:numFmt w:val="decimal"/>
      <w:lvlText w:val=""/>
      <w:lvlJc w:val="left"/>
    </w:lvl>
    <w:lvl w:ilvl="4" w:tplc="DC00731C">
      <w:numFmt w:val="decimal"/>
      <w:lvlText w:val=""/>
      <w:lvlJc w:val="left"/>
    </w:lvl>
    <w:lvl w:ilvl="5" w:tplc="894A5492">
      <w:numFmt w:val="decimal"/>
      <w:lvlText w:val=""/>
      <w:lvlJc w:val="left"/>
    </w:lvl>
    <w:lvl w:ilvl="6" w:tplc="F6F498EA">
      <w:numFmt w:val="decimal"/>
      <w:lvlText w:val=""/>
      <w:lvlJc w:val="left"/>
    </w:lvl>
    <w:lvl w:ilvl="7" w:tplc="C082BB74">
      <w:numFmt w:val="decimal"/>
      <w:lvlText w:val=""/>
      <w:lvlJc w:val="left"/>
    </w:lvl>
    <w:lvl w:ilvl="8" w:tplc="DE947F34">
      <w:numFmt w:val="decimal"/>
      <w:lvlText w:val=""/>
      <w:lvlJc w:val="left"/>
    </w:lvl>
  </w:abstractNum>
  <w:num w:numId="1" w16cid:durableId="1342243299">
    <w:abstractNumId w:val="1"/>
    <w:lvlOverride w:ilvl="0">
      <w:startOverride w:val="1"/>
    </w:lvlOverride>
  </w:num>
  <w:num w:numId="2" w16cid:durableId="1739936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7B6"/>
    <w:rsid w:val="000A56E8"/>
    <w:rsid w:val="0016090B"/>
    <w:rsid w:val="0078673F"/>
    <w:rsid w:val="00B2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4242"/>
  <w15:docId w15:val="{CD076227-4F8F-4B02-AC31-8B236643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2007</Words>
  <Characters>13327</Characters>
  <Application>Microsoft Office Word</Application>
  <DocSecurity>0</DocSecurity>
  <Lines>296</Lines>
  <Paragraphs>112</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McCoy</cp:lastModifiedBy>
  <cp:revision>2</cp:revision>
  <dcterms:created xsi:type="dcterms:W3CDTF">2026-03-12T01:31:00Z</dcterms:created>
  <dcterms:modified xsi:type="dcterms:W3CDTF">2026-03-12T01:31:00Z</dcterms:modified>
</cp:coreProperties>
</file>