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olor w:val="1B2A4A"/>
          <w:sz w:val="40"/>
          <w:szCs w:val="40"/>
        </w:rPr>
        <w:t xml:space="preserve">INSURANCE BROKERAGE</w:t>
      </w:r>
    </w:p>
    <w:p>
      <w:pPr>
        <w:spacing w:after="120"/>
        <w:jc w:val="center"/>
      </w:pPr>
      <w:r>
        <w:rPr>
          <w:rFonts w:ascii="Calibri" w:cs="Calibri" w:eastAsia="Calibri" w:hAnsi="Calibri"/>
          <w:b/>
          <w:bCs/>
          <w:color w:val="1B2A4A"/>
          <w:sz w:val="40"/>
          <w:szCs w:val="40"/>
        </w:rPr>
        <w:t xml:space="preserve">KNOWLEDGE MANAGEMENT SYSTEM</w:t>
      </w:r>
    </w:p>
    <w:p>
      <w:pPr>
        <w:pBdr>
          <w:bottom w:val="single" w:color="0D7377" w:sz="8" w:space="8"/>
        </w:pBdr>
        <w:spacing w:after="400"/>
        <w:jc w:val="center"/>
      </w:pPr>
      <w:r>
        <w:rPr>
          <w:rFonts w:ascii="Calibri" w:cs="Calibri" w:eastAsia="Calibri" w:hAnsi="Calibri"/>
          <w:color w:val="0D7377"/>
          <w:sz w:val="26"/>
          <w:szCs w:val="26"/>
        </w:rPr>
        <w:t xml:space="preserve">Version Control, Session Management &amp; Governance Requirements</w:t>
      </w:r>
    </w:p>
    <w:p>
      <w:pPr>
        <w:spacing w:before="600"/>
      </w:pPr>
    </w:p>
    <w:p>
      <w:pPr>
        <w:spacing w:after="60"/>
        <w:jc w:val="center"/>
      </w:pPr>
      <w:r>
        <w:rPr>
          <w:rFonts w:ascii="Calibri" w:cs="Calibri" w:eastAsia="Calibri" w:hAnsi="Calibri"/>
          <w:color w:val="555555"/>
          <w:sz w:val="24"/>
          <w:szCs w:val="24"/>
        </w:rPr>
        <w:t xml:space="preserve">Prepared by: Robert McCoy</w:t>
      </w:r>
    </w:p>
    <w:p>
      <w:pPr>
        <w:spacing w:after="60"/>
        <w:jc w:val="center"/>
      </w:pPr>
      <w:r>
        <w:rPr>
          <w:rFonts w:ascii="Calibri" w:cs="Calibri" w:eastAsia="Calibri" w:hAnsi="Calibri"/>
          <w:color w:val="555555"/>
          <w:sz w:val="24"/>
          <w:szCs w:val="24"/>
        </w:rPr>
        <w:t xml:space="preserve">Organizational Knowledge Systems LLC</w:t>
      </w:r>
    </w:p>
    <w:p>
      <w:pPr>
        <w:spacing w:after="60"/>
        <w:jc w:val="center"/>
      </w:pPr>
      <w:r>
        <w:rPr>
          <w:rFonts w:ascii="Calibri" w:cs="Calibri" w:eastAsia="Calibri" w:hAnsi="Calibri"/>
          <w:color w:val="555555"/>
          <w:sz w:val="24"/>
          <w:szCs w:val="24"/>
        </w:rPr>
        <w:t xml:space="preserve">March 2026 | Version 2.0 Addendum</w:t>
      </w:r>
    </w:p>
    <w:p>
      <w:pPr>
        <w:spacing w:before="200"/>
        <w:jc w:val="center"/>
      </w:pPr>
      <w:r>
        <w:rPr>
          <w:rFonts w:ascii="Calibri" w:cs="Calibri" w:eastAsia="Calibri" w:hAnsi="Calibri"/>
          <w:i/>
          <w:iCs/>
          <w:color w:val="777777"/>
          <w:sz w:val="22"/>
          <w:szCs w:val="22"/>
        </w:rPr>
        <w:t xml:space="preserve">Addendum to: OKS Insurance KMS Spec v1.0</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Purpose and Scope</w:t>
      </w:r>
    </w:p>
    <w:p>
      <w:pPr>
        <w:spacing w:after="120"/>
      </w:pPr>
      <w:r>
        <w:rPr>
          <w:rFonts w:ascii="Calibri" w:cs="Calibri" w:eastAsia="Calibri" w:hAnsi="Calibri"/>
          <w:b w:val="false"/>
          <w:bCs w:val="false"/>
          <w:i w:val="false"/>
          <w:iCs w:val="false"/>
          <w:color w:val="333333"/>
          <w:sz w:val="22"/>
          <w:szCs w:val="22"/>
        </w:rPr>
        <w:t xml:space="preserve">This addendum defines the version control, session management, operator accountability, and audit trail requirements for the OKS Insurance Knowledge Management System. These requirements are driven by regulatory obligations applicable to insurance brokerages operating in the United States and are designed to ensure the system meets or exceeds compliance standards for E&amp;O audits, carrier audits, state regulatory examinations, and market conduct reviews.</w:t>
      </w:r>
    </w:p>
    <w:p>
      <w:pPr>
        <w:spacing w:after="120"/>
      </w:pPr>
      <w:r>
        <w:rPr>
          <w:rFonts w:ascii="Calibri" w:cs="Calibri" w:eastAsia="Calibri" w:hAnsi="Calibri"/>
          <w:b w:val="false"/>
          <w:bCs w:val="false"/>
          <w:i w:val="false"/>
          <w:iCs w:val="false"/>
          <w:color w:val="333333"/>
          <w:sz w:val="22"/>
          <w:szCs w:val="22"/>
        </w:rPr>
        <w:t xml:space="preserve">All requirements in this document supplement the classification, taxonomy, and interface specifications defined in OKS Insurance KMS Spec v1.0. Where this addendum introduces new capabilities, the v1.0 spec remains authoritative for document taxonomy and AI classification rules.</w:t>
      </w:r>
    </w:p>
    <w:p>
      <w:pPr>
        <w:pStyle w:val="Heading1"/>
      </w:pPr>
      <w:r>
        <w:rPr>
          <w:rFonts w:ascii="Calibri" w:cs="Calibri" w:eastAsia="Calibri" w:hAnsi="Calibri"/>
        </w:rPr>
        <w:t xml:space="preserve">2. Regulatory Foundation</w:t>
      </w:r>
    </w:p>
    <w:p>
      <w:pPr>
        <w:spacing w:after="120"/>
      </w:pPr>
      <w:r>
        <w:rPr>
          <w:rFonts w:ascii="Calibri" w:cs="Calibri" w:eastAsia="Calibri" w:hAnsi="Calibri"/>
          <w:b w:val="false"/>
          <w:bCs w:val="false"/>
          <w:i w:val="false"/>
          <w:iCs w:val="false"/>
          <w:color w:val="333333"/>
          <w:sz w:val="22"/>
          <w:szCs w:val="22"/>
        </w:rPr>
        <w:t xml:space="preserve">Insurance document management systems must satisfy overlapping regulatory frameworks at the state and federal level. The following table summarizes the primary authorities and their requirements as they apply to the KMS.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Authority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KMS Implication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NAIC Model Regulation 910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Insurers and agents must maintain records so that examiners can readily verify compliance; records retained current year plus 3 years minimum for market conduct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documents in the governed library must be retrievable with full provenance for the retention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NAIC Model Regulation 152 (NY Reg 152 equivalent)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Policy records retained 6 years after policy is no longer in force; claim files retained 6 years after closure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System must enforce retention holds and prevent premature deletion of governed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State producer record-keeping (varies by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Indiana: 3-year minimum for transaction records; California: per-transaction records including identity of licensed person handling the transaction; Georgia: 5 years; Pennsylvania: 7 years general requirement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System must capture and store the identity of the operator who classified, approved, or modified every document record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E&amp;O defense requirements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Agents must demonstrate that documents were properly filed, coverage was offered/declined, and communications were sent; claim files must be reconstructible by examiners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audit trail must enable reconstruction of every document's lifecycle from intake through current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NAIC Market Conduct examination standards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Examiners must be able to reconstruct insurer activities; all communications and transactions must be dated; records maintained so all events relating to a claim can be reconstructed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Every system action must be timestamped, attributed to an operator, and immutable once written</w:t>
            </w:r>
          </w:p>
        </w:tc>
      </w:tr>
    </w:tbl>
    <w:p>
      <w:pPr>
        <w:spacing w:before="200" w:after="120"/>
      </w:pPr>
    </w:p>
    <w:p>
      <w:pPr>
        <w:spacing w:after="120"/>
      </w:pPr>
      <w:r>
        <w:rPr>
          <w:rFonts w:ascii="Calibri" w:cs="Calibri" w:eastAsia="Calibri" w:hAnsi="Calibri"/>
          <w:b w:val="false"/>
          <w:bCs w:val="false"/>
          <w:i w:val="false"/>
          <w:iCs w:val="false"/>
          <w:color w:val="333333"/>
          <w:sz w:val="22"/>
          <w:szCs w:val="22"/>
        </w:rPr>
        <w:t xml:space="preserve">The universal principle across all jurisdictions is: every document action must be attributable to a specific licensed individual, timestamped, and preserved for the applicable retention period. The KMS must make this effortless rather than burdensome.</w:t>
      </w:r>
    </w:p>
    <w:p>
      <w:pPr>
        <w:pStyle w:val="Heading1"/>
      </w:pPr>
      <w:r>
        <w:rPr>
          <w:rFonts w:ascii="Calibri" w:cs="Calibri" w:eastAsia="Calibri" w:hAnsi="Calibri"/>
        </w:rPr>
        <w:t xml:space="preserve">3. Session Management and Operator Authentication</w:t>
      </w:r>
    </w:p>
    <w:p>
      <w:pPr>
        <w:pStyle w:val="Heading2"/>
      </w:pPr>
      <w:r>
        <w:rPr>
          <w:rFonts w:ascii="Calibri" w:cs="Calibri" w:eastAsia="Calibri" w:hAnsi="Calibri"/>
        </w:rPr>
        <w:t xml:space="preserve">3.1 Session Sign-In Requirements</w:t>
      </w:r>
    </w:p>
    <w:p>
      <w:pPr>
        <w:spacing w:after="120"/>
      </w:pPr>
      <w:r>
        <w:rPr>
          <w:rFonts w:ascii="Calibri" w:cs="Calibri" w:eastAsia="Calibri" w:hAnsi="Calibri"/>
          <w:b w:val="false"/>
          <w:bCs w:val="false"/>
          <w:i w:val="false"/>
          <w:iCs w:val="false"/>
          <w:color w:val="333333"/>
          <w:sz w:val="22"/>
          <w:szCs w:val="22"/>
        </w:rPr>
        <w:t xml:space="preserve">Every interaction with the KMS that creates, modifies, approves, or deletes a document record must be tied to an authenticated operator session. The system must enforce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Named operator accounts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Each staff member who interacts with the KMS must have a unique, named account. Shared or generic accounts (e.g., "front desk") are prohibited.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State regulations require identification of the licensed person handling each transaction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 authentication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Operators must authenticate before accessing any KMS function. Minimum: username plus password. Recommended: multi-factor authentication for accounts with approval authority.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Prevents unauthorized document modifications and supports E&amp;O defense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 timeout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Inactive sessions must auto-lock after a configurable period (default: 15 minutes). Locked sessions require re-authentication.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Prevents unattended terminals from being used to approve or modify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 logging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Each sign-in and sign-out event must be logged with operator ID, timestamp, IP address or device identifier, and session duration.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Enables forensic reconstruction during audits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Role-based access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Operators are assigned roles that govern what actions they can perform. Minimum roles: Viewer (read-only search and retrieval), Operator (classify, file, annotate), Approver (review queue authority, reclassification), Administrator (user management, system configuration, retention policy).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Limits exposure and ensures separation of duties for approval workflows</w:t>
            </w:r>
          </w:p>
        </w:tc>
      </w:tr>
    </w:tbl>
    <w:p>
      <w:pPr>
        <w:spacing w:before="200"/>
      </w:pPr>
    </w:p>
    <w:p>
      <w:pPr>
        <w:pStyle w:val="Heading2"/>
      </w:pPr>
      <w:r>
        <w:rPr>
          <w:rFonts w:ascii="Calibri" w:cs="Calibri" w:eastAsia="Calibri" w:hAnsi="Calibri"/>
        </w:rPr>
        <w:t xml:space="preserve">3.2 Operator Identity on Every Action</w:t>
      </w:r>
    </w:p>
    <w:p>
      <w:pPr>
        <w:spacing w:after="120"/>
      </w:pPr>
      <w:r>
        <w:rPr>
          <w:rFonts w:ascii="Calibri" w:cs="Calibri" w:eastAsia="Calibri" w:hAnsi="Calibri"/>
          <w:b w:val="false"/>
          <w:bCs w:val="false"/>
          <w:i w:val="false"/>
          <w:iCs w:val="false"/>
          <w:color w:val="333333"/>
          <w:sz w:val="22"/>
          <w:szCs w:val="22"/>
        </w:rPr>
        <w:t xml:space="preserve">The system must stamp every action record with the authenticated operator's identity. This applies to all actions listed in Section 5 (Audit Trail Requirements). The operator identity must include the operator's full name as registered in the system, their role at the time of the action, and a unique operator ID that persists even if the operator's name changes. If an operator's account is deactivated (e.g., staff departure), their historical actions must remain attributed to their identity. Accounts are never deleted; they are deactivated with an effective date.</w:t>
      </w:r>
    </w:p>
    <w:p>
      <w:pPr>
        <w:pStyle w:val="Heading1"/>
      </w:pPr>
      <w:r>
        <w:rPr>
          <w:rFonts w:ascii="Calibri" w:cs="Calibri" w:eastAsia="Calibri" w:hAnsi="Calibri"/>
        </w:rPr>
        <w:t xml:space="preserve">4. Version Control</w:t>
      </w:r>
    </w:p>
    <w:p>
      <w:pPr>
        <w:pStyle w:val="Heading2"/>
      </w:pPr>
      <w:r>
        <w:rPr>
          <w:rFonts w:ascii="Calibri" w:cs="Calibri" w:eastAsia="Calibri" w:hAnsi="Calibri"/>
        </w:rPr>
        <w:t xml:space="preserve">4.1 Document Record Versioning</w:t>
      </w:r>
    </w:p>
    <w:p>
      <w:pPr>
        <w:spacing w:after="120"/>
      </w:pPr>
      <w:r>
        <w:rPr>
          <w:rFonts w:ascii="Calibri" w:cs="Calibri" w:eastAsia="Calibri" w:hAnsi="Calibri"/>
          <w:b w:val="false"/>
          <w:bCs w:val="false"/>
          <w:i w:val="false"/>
          <w:iCs w:val="false"/>
          <w:color w:val="333333"/>
          <w:sz w:val="22"/>
          <w:szCs w:val="22"/>
        </w:rPr>
        <w:t xml:space="preserve">Every document record in the governed library has two components: the source file (the PDF or scanned image) and the metadata record (classification, extracted fields, filing location, notes). Version control applies to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Version Control Rule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Source file (PDF)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Source files are immutable after intake. The original scan or upload is preserved exactly as received. If a replacement file is needed (e.g., a better scan), the replacement is stored as a new version; the original is retained.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Append-only file store with version numbering (v1, v2, ...). No in-place overwrites. All versions retrievable.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Metadata record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Every change to classification, extracted fields, filing location, or notes creates a new version of the metadata record. The prior version is preserved.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Metadata version history table with: version number, timestamp, operator ID, field changed, old value, new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Classification changes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Reclassification (e.g., changing a document from COR to COI) is a metadata version event. The system must record the original AI classification, the confidence score, the reclassification, and the operator who made the change.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Dedicated reclassification log within the metadata version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Notes and annotations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Operators can add notes to document records. Notes are append-only. Existing notes cannot be edited or deleted, only superseded by a new note referencing the original.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Notes table with: note ID, document ID, operator ID, timestamp, note text, supersedes_note_id (nullable).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Batch operations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If a batch reclassification or metadata update is performed (e.g., correcting a carrier name across 20 documents), the system must log it as a single batch event with all affected document IDs.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Batch event log with: batch ID, operator ID, timestamp, action description, affected document ID list.</w:t>
            </w:r>
          </w:p>
        </w:tc>
      </w:tr>
    </w:tbl>
    <w:p>
      <w:pPr>
        <w:spacing w:before="200"/>
      </w:pPr>
    </w:p>
    <w:p>
      <w:pPr>
        <w:pStyle w:val="Heading2"/>
      </w:pPr>
      <w:r>
        <w:rPr>
          <w:rFonts w:ascii="Calibri" w:cs="Calibri" w:eastAsia="Calibri" w:hAnsi="Calibri"/>
        </w:rPr>
        <w:t xml:space="preserve">4.2 Retention Holds and Deletion Prevention</w:t>
      </w:r>
    </w:p>
    <w:p>
      <w:pPr>
        <w:spacing w:after="120"/>
      </w:pPr>
      <w:r>
        <w:rPr>
          <w:rFonts w:ascii="Calibri" w:cs="Calibri" w:eastAsia="Calibri" w:hAnsi="Calibri"/>
          <w:b w:val="false"/>
          <w:bCs w:val="false"/>
          <w:i w:val="false"/>
          <w:iCs w:val="false"/>
          <w:color w:val="333333"/>
          <w:sz w:val="22"/>
          <w:szCs w:val="22"/>
        </w:rPr>
        <w:t xml:space="preserve">No document or document version may be permanently deleted from the governed library during the applicable retention period. The retention period is calculated per document based on the policy expiration date and the applicable state regulation. For Indiana (the primary operating jurisdiction), the minimum retention period is 3 years after the policy term ends, but the system default should be set to 7 years to accommodate multi-state operations and E&amp;O defense best practices.</w:t>
      </w:r>
    </w:p>
    <w:p>
      <w:pPr>
        <w:spacing w:after="120"/>
      </w:pPr>
      <w:r>
        <w:rPr>
          <w:rFonts w:ascii="Calibri" w:cs="Calibri" w:eastAsia="Calibri" w:hAnsi="Calibri"/>
          <w:b w:val="false"/>
          <w:bCs w:val="false"/>
          <w:i w:val="false"/>
          <w:iCs w:val="false"/>
          <w:color w:val="333333"/>
          <w:sz w:val="22"/>
          <w:szCs w:val="22"/>
        </w:rPr>
        <w:t xml:space="preserve">When a retention period expires, the system flags the document for review rather than auto-deleting. An Administrator must explicitly approve disposal. The disposal action is logged with the same operator attribution as any other action.</w:t>
      </w:r>
    </w:p>
    <w:p>
      <w:pPr>
        <w:pStyle w:val="Heading1"/>
      </w:pPr>
      <w:r>
        <w:rPr>
          <w:rFonts w:ascii="Calibri" w:cs="Calibri" w:eastAsia="Calibri" w:hAnsi="Calibri"/>
        </w:rPr>
        <w:t xml:space="preserve">5. Audit Trail Requirements</w:t>
      </w:r>
    </w:p>
    <w:p>
      <w:pPr>
        <w:pStyle w:val="Heading2"/>
      </w:pPr>
      <w:r>
        <w:rPr>
          <w:rFonts w:ascii="Calibri" w:cs="Calibri" w:eastAsia="Calibri" w:hAnsi="Calibri"/>
        </w:rPr>
        <w:t xml:space="preserve">5.1 Tracked Actions</w:t>
      </w:r>
    </w:p>
    <w:p>
      <w:pPr>
        <w:spacing w:after="120"/>
      </w:pPr>
      <w:r>
        <w:rPr>
          <w:rFonts w:ascii="Calibri" w:cs="Calibri" w:eastAsia="Calibri" w:hAnsi="Calibri"/>
          <w:b w:val="false"/>
          <w:bCs w:val="false"/>
          <w:i w:val="false"/>
          <w:iCs w:val="false"/>
          <w:color w:val="333333"/>
          <w:sz w:val="22"/>
          <w:szCs w:val="22"/>
        </w:rPr>
        <w:t xml:space="preserve">The audit trail must capture every action that changes the state of a document record or the system itself. The following actions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Logged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intake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New document ingested into the system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source (scan, upload, email), file hash (SHA-256), timestamp, operator ID (or "SYSTEM" for automated intake)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classification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engine assigns classification and extracts metadata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proposed classification, confidence score, extracted fields (as JSON), model version,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Human review: approve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approves AI classification in the review queue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classification confirmed, time spent in review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Human review: reclassify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overrides AI classification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original classification, new classification, reason (free text,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Human review: reject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rejects document (e.g., not an insurance document)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rejection reason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Metadata edit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modifies extracted metadata field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field name, old value, new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 added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adds a note or annotation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note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retrieved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opens or downloads a document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 operator ID, timestamp, action type (view/download)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Search executed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performs a search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ID, timestamp, search query, result 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User account change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Administrator creates, modifies, or deactivates an operator account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Target operator ID, action (create/modify/deactivate), changed fields, admin operator ID,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System configuration change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Administrator modifies system settings (confidence thresholds, retention periods, etc.)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Setting name, old value, new value, admin operator ID,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Retention disposal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Administrator approves disposal of expired documents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IDs, retention period applied, disposal approval, admin operator ID, timestamp</w:t>
            </w:r>
          </w:p>
        </w:tc>
      </w:tr>
    </w:tbl>
    <w:p>
      <w:pPr>
        <w:spacing w:before="200"/>
      </w:pPr>
    </w:p>
    <w:p>
      <w:pPr>
        <w:pStyle w:val="Heading2"/>
      </w:pPr>
      <w:r>
        <w:rPr>
          <w:rFonts w:ascii="Calibri" w:cs="Calibri" w:eastAsia="Calibri" w:hAnsi="Calibri"/>
        </w:rPr>
        <w:t xml:space="preserve">5.2 Audit Trail Immutability</w:t>
      </w:r>
    </w:p>
    <w:p>
      <w:pPr>
        <w:spacing w:after="120"/>
      </w:pPr>
      <w:r>
        <w:rPr>
          <w:rFonts w:ascii="Calibri" w:cs="Calibri" w:eastAsia="Calibri" w:hAnsi="Calibri"/>
          <w:b w:val="false"/>
          <w:bCs w:val="false"/>
          <w:i w:val="false"/>
          <w:iCs w:val="false"/>
          <w:color w:val="333333"/>
          <w:sz w:val="22"/>
          <w:szCs w:val="22"/>
        </w:rPr>
        <w:t xml:space="preserve">The audit trail is append-only. No audit trail record may be modified or deleted by any user, including Administrators. This is a non-negotiable requirement driven by NAIC examination standards, which require that examiners be able to reconstruct all events relating to a document or claim. The implementation must use one of the following approaches: an append-only database table with no UPDATE or DELETE permissions granted to any application-level role; a separate audit database or schema with write-only access from the application; or a cryptographic hash chain where each audit record includes a hash of the previous record, enabling tamper detection.</w:t>
      </w:r>
    </w:p>
    <w:p>
      <w:pPr>
        <w:pStyle w:val="Heading2"/>
      </w:pPr>
      <w:r>
        <w:rPr>
          <w:rFonts w:ascii="Calibri" w:cs="Calibri" w:eastAsia="Calibri" w:hAnsi="Calibri"/>
        </w:rPr>
        <w:t xml:space="preserve">5.3 Audit Trail Retention</w:t>
      </w:r>
    </w:p>
    <w:p>
      <w:pPr>
        <w:spacing w:after="120"/>
      </w:pPr>
      <w:r>
        <w:rPr>
          <w:rFonts w:ascii="Calibri" w:cs="Calibri" w:eastAsia="Calibri" w:hAnsi="Calibri"/>
          <w:b w:val="false"/>
          <w:bCs w:val="false"/>
          <w:i w:val="false"/>
          <w:iCs w:val="false"/>
          <w:color w:val="333333"/>
          <w:sz w:val="22"/>
          <w:szCs w:val="22"/>
        </w:rPr>
        <w:t xml:space="preserve">Audit trail records must be retained for the longer of: the retention period of the document they reference, or 7 years from creation. Audit records for system configuration changes and user account changes must be retained indefinitely (or for the life of the system deployment).</w:t>
      </w:r>
    </w:p>
    <w:p>
      <w:pPr>
        <w:pStyle w:val="Heading1"/>
      </w:pPr>
      <w:r>
        <w:rPr>
          <w:rFonts w:ascii="Calibri" w:cs="Calibri" w:eastAsia="Calibri" w:hAnsi="Calibri"/>
        </w:rPr>
        <w:t xml:space="preserve">6. Review Queue Governance Enhancements</w:t>
      </w:r>
    </w:p>
    <w:p>
      <w:pPr>
        <w:spacing w:after="120"/>
      </w:pPr>
      <w:r>
        <w:rPr>
          <w:rFonts w:ascii="Calibri" w:cs="Calibri" w:eastAsia="Calibri" w:hAnsi="Calibri"/>
          <w:b w:val="false"/>
          <w:bCs w:val="false"/>
          <w:i w:val="false"/>
          <w:iCs w:val="false"/>
          <w:color w:val="333333"/>
          <w:sz w:val="22"/>
          <w:szCs w:val="22"/>
        </w:rPr>
        <w:t xml:space="preserve">The v1.0 spec defines confidence-based routing to the review queue. This addendum adds governance controls to the review queue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Enhancement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Four-eye principle (optional, configurable)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For documents with confidence below 0.50 or for reclassifications that change the policy line assignment, require a second approver. The first operator proposes; a different operator confirms. Both operator IDs are logged.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Review time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system records how long each document spends in the review queue and how long each operator spends reviewing it. This data supports staffing analysis and quality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Reclassification reason required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When an operator overrides the AI classification, a reason field is mandatory. This creates a training signal for the AI model and an audit defense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Daily review queue 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system generates a daily summary showing: documents processed, documents pending, average confidence score, reclassification rate, and operator-level metrics. This report is available to Approver and Administrator roles.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Escalation 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Documents that remain in the review queue for more than a configurable period (default: 48 hours) are escalated to the Administrator role with an alert.</w:t>
            </w:r>
          </w:p>
        </w:tc>
      </w:tr>
    </w:tbl>
    <w:p>
      <w:pPr>
        <w:spacing w:before="200"/>
      </w:pPr>
    </w:p>
    <w:p>
      <w:pPr>
        <w:pStyle w:val="Heading1"/>
      </w:pPr>
      <w:r>
        <w:rPr>
          <w:rFonts w:ascii="Calibri" w:cs="Calibri" w:eastAsia="Calibri" w:hAnsi="Calibri"/>
        </w:rPr>
        <w:t xml:space="preserve">7. Database Schema Additions for v2.0</w:t>
      </w:r>
    </w:p>
    <w:p>
      <w:pPr>
        <w:spacing w:after="120"/>
      </w:pPr>
      <w:r>
        <w:rPr>
          <w:rFonts w:ascii="Calibri" w:cs="Calibri" w:eastAsia="Calibri" w:hAnsi="Calibri"/>
          <w:b w:val="false"/>
          <w:bCs w:val="false"/>
          <w:i w:val="false"/>
          <w:iCs w:val="false"/>
          <w:color w:val="333333"/>
          <w:sz w:val="22"/>
          <w:szCs w:val="22"/>
        </w:rPr>
        <w:t xml:space="preserve">The following tables supplement the v1.0 schema (Section 9.3) to support session management, version control, and audit trail requirements.</w:t>
      </w:r>
    </w:p>
    <w:p>
      <w:pPr>
        <w:pStyle w:val="Heading2"/>
      </w:pPr>
      <w:r>
        <w:rPr>
          <w:rFonts w:ascii="Calibri" w:cs="Calibri" w:eastAsia="Calibri" w:hAnsi="Calibri"/>
        </w:rPr>
        <w:t xml:space="preserve">7.1 operators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permanent operator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full_name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Operator's full legal name as registered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 UNIQUE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Login email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password_hash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bcrypt or argon2 hashed 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VIEWER, OPERATOR, APPROVER, ADMINISTRATOR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license_number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State insurance license number (if 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is_active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BOOLEAN DEFAULT TRUE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Active/deactivated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deactivated_at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Date of deactivation (null if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created_by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operators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Administrator who created the account</w:t>
            </w:r>
          </w:p>
        </w:tc>
      </w:tr>
    </w:tbl>
    <w:p>
      <w:pPr>
        <w:spacing w:before="160"/>
      </w:pPr>
    </w:p>
    <w:p>
      <w:pPr>
        <w:pStyle w:val="Heading2"/>
      </w:pPr>
      <w:r>
        <w:rPr>
          <w:rFonts w:ascii="Calibri" w:cs="Calibri" w:eastAsia="Calibri" w:hAnsi="Calibri"/>
        </w:rPr>
        <w:t xml:space="preserve">7.2 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session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operators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Authenticated operator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started_at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 start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ended_at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 end (logout or timeout)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ip_address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Client IP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device_info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User agent or device identifier</w:t>
            </w:r>
          </w:p>
        </w:tc>
      </w:tr>
    </w:tbl>
    <w:p>
      <w:pPr>
        <w:spacing w:before="160"/>
      </w:pPr>
    </w:p>
    <w:p>
      <w:pPr>
        <w:pStyle w:val="Heading2"/>
      </w:pPr>
      <w:r>
        <w:rPr>
          <w:rFonts w:ascii="Calibri" w:cs="Calibri" w:eastAsia="Calibri" w:hAnsi="Calibri"/>
        </w:rPr>
        <w:t xml:space="preserve">7.3 document_versions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version_id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version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Parent document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version_number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INTEGER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Sequential version (1, 2,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change_type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CLASSIFICATION, METADATA, RECLASSIFICATION, FILE_REPLACEMENT, 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field_changed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Name of the field that changed (null for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old_value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Previous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new_value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New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reason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Operator-provided reason (required for reclassifications)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operators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who made the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sessions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Active session at time of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Version creation timestamp</w:t>
            </w:r>
          </w:p>
        </w:tc>
      </w:tr>
    </w:tbl>
    <w:p>
      <w:pPr>
        <w:spacing w:before="160"/>
      </w:pPr>
    </w:p>
    <w:p>
      <w:pPr>
        <w:pStyle w:val="Heading2"/>
      </w:pPr>
      <w:r>
        <w:rPr>
          <w:rFonts w:ascii="Calibri" w:cs="Calibri" w:eastAsia="Calibri" w:hAnsi="Calibri"/>
        </w:rPr>
        <w:t xml:space="preserve">7.4 audit_log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log_id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BIGSERIAL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Auto-incrementing, immutable log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Action type (from Section 5.1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Referenced document (null for system-level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operators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who performed the action (or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sessions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Active session (null for system-level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JSONB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Structured payload with action-specific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prev_hash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SHA-256 hash of previous audit record (tamper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 NOT NULL 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Immutable creation timestamp</w:t>
            </w:r>
          </w:p>
        </w:tc>
      </w:tr>
    </w:tbl>
    <w:p>
      <w:pPr>
        <w:spacing w:before="160"/>
      </w:pPr>
    </w:p>
    <w:p>
      <w:pPr>
        <w:pStyle w:val="Heading2"/>
      </w:pPr>
      <w:r>
        <w:rPr>
          <w:rFonts w:ascii="Calibri" w:cs="Calibri" w:eastAsia="Calibri" w:hAnsi="Calibri"/>
        </w:rPr>
        <w:t xml:space="preserve">7.5 notes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Unique note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Parent document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operators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Author of the 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session_id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sessions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Active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note_text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TEXT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supersedes_note_id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UUID FK notes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Previous note this supersedes (null if original)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TIMESTAMP 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Note creation timestamp</w:t>
            </w:r>
          </w:p>
        </w:tc>
      </w:tr>
    </w:tbl>
    <w:p>
      <w:pPr>
        <w:spacing w:before="200"/>
      </w:pPr>
    </w:p>
    <w:p>
      <w:pPr>
        <w:pStyle w:val="Heading1"/>
      </w:pPr>
      <w:r>
        <w:rPr>
          <w:rFonts w:ascii="Calibri" w:cs="Calibri" w:eastAsia="Calibri" w:hAnsi="Calibri"/>
        </w:rPr>
        <w:t xml:space="preserve">8. Implementation Priority</w:t>
      </w:r>
    </w:p>
    <w:p>
      <w:pPr>
        <w:spacing w:after="120"/>
      </w:pPr>
      <w:r>
        <w:rPr>
          <w:rFonts w:ascii="Calibri" w:cs="Calibri" w:eastAsia="Calibri" w:hAnsi="Calibri"/>
          <w:b w:val="false"/>
          <w:bCs w:val="false"/>
          <w:i w:val="false"/>
          <w:iCs w:val="false"/>
          <w:color w:val="333333"/>
          <w:sz w:val="22"/>
          <w:szCs w:val="22"/>
        </w:rPr>
        <w:t xml:space="preserve">The following sequence reflects the order in which these governance features should be implemented, based on regulatory criticality and development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C0000"/>
                <w:sz w:val="20"/>
                <w:szCs w:val="20"/>
              </w:rPr>
              <w:t xml:space="preserve">P0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Operator accounts and session authentication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Foundation for all other governance features; cannot attribute actions without authenticated sessions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C0000"/>
                <w:sz w:val="20"/>
                <w:szCs w:val="20"/>
              </w:rPr>
              <w:t xml:space="preserve">P0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Append-only audit log with operator attribution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Regulatory requirement; every action must be logged from day 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C6600"/>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Document metadata versioning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Required for reclassification tracking and E&amp;O defense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C6600"/>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Review queue governance (reason required, time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Enhances the v1.0 review queue with accountability controls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CC6600"/>
                <w:sz w:val="20"/>
                <w:szCs w:val="20"/>
              </w:rPr>
              <w:t xml:space="preserve">P1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Role-based access control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Separation of duties between operators and approvers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66CC"/>
                <w:sz w:val="20"/>
                <w:szCs w:val="20"/>
              </w:rPr>
              <w:t xml:space="preserve">P2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Source file immutability and version 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Important for long-term compliance; can use filesystem-level controls initially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66CC"/>
                <w:sz w:val="20"/>
                <w:szCs w:val="20"/>
              </w:rPr>
              <w:t xml:space="preserve">P2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Retention hold enforcement and disposal workflow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Critical for multi-year operations; less urgent for initial demo and pilot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0066CC"/>
                <w:sz w:val="20"/>
                <w:szCs w:val="20"/>
              </w:rPr>
              <w:t xml:space="preserve">P2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Four-eye principle for low-confidence documents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Configurable; valuable for pilot validation but not required for initial launch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666666"/>
                <w:sz w:val="20"/>
                <w:szCs w:val="20"/>
              </w:rPr>
              <w:t xml:space="preserve">P3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Cryptographic hash chain on audit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Defense-in-depth; append-only database permissions provide baseline tamper resistance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666666"/>
                <w:sz w:val="20"/>
                <w:szCs w:val="20"/>
              </w:rPr>
              <w:t xml:space="preserve">P3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Daily review queue summary 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Operational value; can be manual initially</w:t>
            </w:r>
          </w:p>
        </w:tc>
      </w:tr>
    </w:tbl>
    <w:p>
      <w:pPr>
        <w:spacing w:before="200"/>
      </w:pPr>
    </w:p>
    <w:p>
      <w:pPr>
        <w:pStyle w:val="Heading1"/>
      </w:pPr>
      <w:r>
        <w:rPr>
          <w:rFonts w:ascii="Calibri" w:cs="Calibri" w:eastAsia="Calibri" w:hAnsi="Calibri"/>
        </w:rPr>
        <w:t xml:space="preserve">9. Next Steps</w:t>
      </w:r>
    </w:p>
    <w:p>
      <w:pPr>
        <w:spacing w:after="120"/>
      </w:pPr>
      <w:r>
        <w:rPr>
          <w:rFonts w:ascii="Calibri" w:cs="Calibri" w:eastAsia="Calibri" w:hAnsi="Calibri"/>
          <w:b w:val="false"/>
          <w:bCs w:val="false"/>
          <w:i w:val="false"/>
          <w:iCs w:val="false"/>
          <w:color w:val="333333"/>
          <w:sz w:val="22"/>
          <w:szCs w:val="22"/>
        </w:rPr>
        <w:t xml:space="preserve">1. Review this addendum with domain partner (insurance brokerage operator) to validate that the governance controls match real-world audit expectations and do not introduce unnecessary friction.</w:t>
      </w:r>
    </w:p>
    <w:p>
      <w:pPr>
        <w:spacing w:after="120"/>
      </w:pPr>
      <w:r>
        <w:rPr>
          <w:rFonts w:ascii="Calibri" w:cs="Calibri" w:eastAsia="Calibri" w:hAnsi="Calibri"/>
          <w:b w:val="false"/>
          <w:bCs w:val="false"/>
          <w:i w:val="false"/>
          <w:iCs w:val="false"/>
          <w:color w:val="333333"/>
          <w:sz w:val="22"/>
          <w:szCs w:val="22"/>
        </w:rPr>
        <w:t xml:space="preserve">2. Implement P0 features (operator accounts, session management, audit log) in the existing BFMP/KMS codebase before publishing the demo.</w:t>
      </w:r>
    </w:p>
    <w:p>
      <w:pPr>
        <w:spacing w:after="120"/>
      </w:pPr>
      <w:r>
        <w:rPr>
          <w:rFonts w:ascii="Calibri" w:cs="Calibri" w:eastAsia="Calibri" w:hAnsi="Calibri"/>
          <w:b w:val="false"/>
          <w:bCs w:val="false"/>
          <w:i w:val="false"/>
          <w:iCs w:val="false"/>
          <w:color w:val="333333"/>
          <w:sz w:val="22"/>
          <w:szCs w:val="22"/>
        </w:rPr>
        <w:t xml:space="preserve">3. Update the Pinnacle Insurance Group demo to include sample operator accounts (e.g., David Marsh as Approver, Karen Whitfield as Operator) and demonstrate the audit trail in the demo walkthrough.</w:t>
      </w:r>
    </w:p>
    <w:p>
      <w:pPr>
        <w:spacing w:after="120"/>
      </w:pPr>
      <w:r>
        <w:rPr>
          <w:rFonts w:ascii="Calibri" w:cs="Calibri" w:eastAsia="Calibri" w:hAnsi="Calibri"/>
          <w:b w:val="false"/>
          <w:bCs w:val="false"/>
          <w:i w:val="false"/>
          <w:iCs w:val="false"/>
          <w:color w:val="333333"/>
          <w:sz w:val="22"/>
          <w:szCs w:val="22"/>
        </w:rPr>
        <w:t xml:space="preserve">4. Document the retention period configuration for Indiana and the additional states in ERIE's operating territory (Illinois, Kentucky, Maryland, New York, North Carolina, Ohio, Pennsylvania, Tennessee, Virginia, West Virginia, Wisconsin).</w:t>
      </w:r>
    </w:p>
    <w:p>
      <w:pPr>
        <w:spacing w:after="120"/>
      </w:pPr>
      <w:r>
        <w:rPr>
          <w:rFonts w:ascii="Calibri" w:cs="Calibri" w:eastAsia="Calibri" w:hAnsi="Calibri"/>
          <w:b w:val="false"/>
          <w:bCs w:val="false"/>
          <w:i w:val="false"/>
          <w:iCs w:val="false"/>
          <w:color w:val="333333"/>
          <w:sz w:val="22"/>
          <w:szCs w:val="22"/>
        </w:rPr>
        <w:t xml:space="preserve">5. Prepare a compliance summary one-pager suitable for presentation to a prospective pilot customer that maps KMS features to regulatory requirements.</w:t>
      </w:r>
    </w:p>
    <w:p>
      <w:pPr>
        <w:spacing w:before="400"/>
      </w:pPr>
    </w:p>
    <w:p>
      <w:pPr>
        <w:pBdr>
          <w:top w:val="single" w:color="0D7377" w:sz="4" w:space="8"/>
        </w:pBdr>
        <w:jc w:val="center"/>
      </w:pPr>
      <w:r>
        <w:rPr>
          <w:rFonts w:ascii="Calibri" w:cs="Calibri" w:eastAsia="Calibri" w:hAnsi="Calibri"/>
          <w:color w:val="999999"/>
          <w:sz w:val="20"/>
          <w:szCs w:val="20"/>
        </w:rPr>
        <w:t xml:space="preserve">Organizational Knowledge Systems LLC | thegovernanceframework.com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2" w:space="4"/>
      </w:pBdr>
    </w:pPr>
    <w:r>
      <w:rPr>
        <w:rFonts w:ascii="Calibri" w:cs="Calibri" w:eastAsia="Calibri" w:hAnsi="Calibri"/>
        <w:color w:val="999999"/>
        <w:sz w:val="16"/>
        <w:szCs w:val="16"/>
      </w:rPr>
      <w:t xml:space="preserve">Organizational Knowledge Systems LLC | thegovernanceframework.com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OKS Insurance KMS | Governance Addendum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REQ-%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7377" w:sz="6" w:space="4"/>
      </w:pBdr>
      <w:spacing w:before="360" w:after="200"/>
      <w:outlineLvl w:val="0"/>
    </w:pPr>
    <w:rPr>
      <w:rFonts w:ascii="Calibri" w:cs="Calibri" w:eastAsia="Calibri" w:hAnsi="Calibri"/>
      <w:b/>
      <w:bCs/>
      <w:color w:val="1B2A4A"/>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1B2A4A"/>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2026-03-21T09:37:00.101Z</dcterms:created>
  <dcterms:modified xsi:type="dcterms:W3CDTF">2026-03-21T09:37:00.102Z</dcterms:modified>
</cp:coreProperties>
</file>

<file path=docProps/custom.xml><?xml version="1.0" encoding="utf-8"?>
<Properties xmlns="http://schemas.openxmlformats.org/officeDocument/2006/custom-properties" xmlns:vt="http://schemas.openxmlformats.org/officeDocument/2006/docPropsVTypes"/>
</file>