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aps/>
          <w:color w:val="B45309"/>
          <w:sz w:val="40"/>
          <w:szCs w:val="40"/>
        </w:rPr>
        <w:t xml:space="preserve">PINNACLE INSURANCE GROUP</w:t>
      </w:r>
    </w:p>
    <w:p>
      <w:pPr>
        <w:spacing w:after="80" w:before="0"/>
        <w:jc w:val="center"/>
      </w:pPr>
      <w:r>
        <w:rPr>
          <w:rFonts w:ascii="Calibri" w:cs="Calibri" w:eastAsia="Calibri" w:hAnsi="Calibri"/>
          <w:color w:val="334155"/>
          <w:sz w:val="28"/>
          <w:szCs w:val="28"/>
        </w:rPr>
        <w:t xml:space="preserve">OKS Knowledge Management System</w:t>
      </w:r>
    </w:p>
    <w:p>
      <w:pPr>
        <w:spacing w:after="80" w:before="0"/>
        <w:jc w:val="center"/>
      </w:pPr>
      <w:r>
        <w:rPr>
          <w:rFonts w:ascii="Calibri" w:cs="Calibri" w:eastAsia="Calibri" w:hAnsi="Calibri"/>
          <w:b/>
          <w:bCs/>
          <w:caps/>
          <w:color w:val="1E3A5F"/>
          <w:sz w:val="24"/>
          <w:szCs w:val="24"/>
        </w:rPr>
        <w:t xml:space="preserve">PIPELINE DEMO — NARRATION SCRIPT</w:t>
      </w:r>
    </w:p>
    <w:p>
      <w:pPr>
        <w:spacing w:after="80" w:before="0"/>
        <w:jc w:val="center"/>
      </w:pPr>
      <w:r>
        <w:rPr>
          <w:rFonts w:ascii="Calibri" w:cs="Calibri" w:eastAsia="Calibri" w:hAnsi="Calibri"/>
          <w:color w:val="94A3B8"/>
          <w:sz w:val="20"/>
          <w:szCs w:val="20"/>
        </w:rPr>
        <w:t xml:space="preserve">Prepared by Robert McCoy  |  robert@theaigovernanceguy.com</w:t>
      </w:r>
    </w:p>
    <w:p>
      <w:pPr>
        <w:spacing w:after="480" w:before="0"/>
        <w:jc w:val="center"/>
      </w:pPr>
      <w:r>
        <w:rPr>
          <w:rFonts w:ascii="Calibri" w:cs="Calibri" w:eastAsia="Calibri" w:hAnsi="Calibri"/>
          <w:i/>
          <w:iCs/>
          <w:color w:val="94A3B8"/>
          <w:sz w:val="20"/>
          <w:szCs w:val="20"/>
        </w:rPr>
        <w:t xml:space="preserve">Version 1.0  |  March 2026</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How to Use This Script</w:t>
      </w:r>
    </w:p>
    <w:p>
      <w:pPr>
        <w:spacing w:after="80" w:before="60"/>
      </w:pPr>
      <w:r>
        <w:rPr>
          <w:rFonts w:ascii="Calibri" w:cs="Calibri" w:eastAsia="Calibri" w:hAnsi="Calibri"/>
          <w:color w:val="1E293B"/>
          <w:sz w:val="22"/>
          <w:szCs w:val="22"/>
        </w:rPr>
        <w:t xml:space="preserve">This document is structured as a spoken narration guide for live or recorded demonstrations of the Pinnacle Insurance Group document ingestion pipeline and KMS portal. Each section corresponds to a distinct phase on screen.</w:t>
      </w:r>
    </w:p>
    <w:p>
      <w:pPr>
        <w:spacing w:after="60" w:before="80"/>
      </w:pPr>
      <w:r>
        <w:rPr>
          <w:rFonts w:ascii="Calibri" w:cs="Calibri" w:eastAsia="Calibri" w:hAnsi="Calibri"/>
          <w:b/>
          <w:bCs/>
          <w:sz w:val="22"/>
          <w:szCs w:val="22"/>
        </w:rPr>
        <w:t xml:space="preserve">Notation key used throughout:</w:t>
      </w:r>
    </w:p>
    <w:p>
      <w:pPr>
        <w:pStyle w:val="ListParagraph"/>
        <w:numPr>
          <w:ilvl w:val="0"/>
          <w:numId w:val="1"/>
        </w:numPr>
        <w:spacing w:after="40" w:before="40"/>
        <w:ind w:left="360" w:hanging="180"/>
      </w:pPr>
      <w:r>
        <w:rPr>
          <w:rFonts w:ascii="Calibri" w:cs="Calibri" w:eastAsia="Calibri" w:hAnsi="Calibri"/>
          <w:color w:val="1E293B"/>
          <w:sz w:val="21"/>
          <w:szCs w:val="21"/>
        </w:rPr>
        <w:t xml:space="preserve">Quoted, italicised text = what you say aloud</w:t>
      </w:r>
    </w:p>
    <w:p>
      <w:pPr>
        <w:pStyle w:val="ListParagraph"/>
        <w:numPr>
          <w:ilvl w:val="0"/>
          <w:numId w:val="1"/>
        </w:numPr>
        <w:spacing w:after="40" w:before="40"/>
        <w:ind w:left="360" w:hanging="180"/>
      </w:pPr>
      <w:r>
        <w:rPr>
          <w:rFonts w:ascii="Calibri" w:cs="Calibri" w:eastAsia="Calibri" w:hAnsi="Calibri"/>
          <w:color w:val="1E293B"/>
          <w:sz w:val="21"/>
          <w:szCs w:val="21"/>
        </w:rPr>
        <w:t xml:space="preserve">[ON SCREEN] = describe or gesture to the UI element</w:t>
      </w:r>
    </w:p>
    <w:p>
      <w:pPr>
        <w:pStyle w:val="ListParagraph"/>
        <w:numPr>
          <w:ilvl w:val="0"/>
          <w:numId w:val="1"/>
        </w:numPr>
        <w:spacing w:after="40" w:before="40"/>
        <w:ind w:left="360" w:hanging="180"/>
      </w:pPr>
      <w:r>
        <w:rPr>
          <w:rFonts w:ascii="Calibri" w:cs="Calibri" w:eastAsia="Calibri" w:hAnsi="Calibri"/>
          <w:color w:val="1E293B"/>
          <w:sz w:val="21"/>
          <w:szCs w:val="21"/>
        </w:rPr>
        <w:t xml:space="preserve">[NOTE] = presenter reminder — not spoken</w:t>
      </w:r>
    </w:p>
    <w:p>
      <w:pPr>
        <w:pStyle w:val="ListParagraph"/>
        <w:numPr>
          <w:ilvl w:val="0"/>
          <w:numId w:val="1"/>
        </w:numPr>
        <w:spacing w:after="40" w:before="40"/>
        <w:ind w:left="360" w:hanging="180"/>
      </w:pPr>
      <w:r>
        <w:rPr>
          <w:rFonts w:ascii="Calibri" w:cs="Calibri" w:eastAsia="Calibri" w:hAnsi="Calibri"/>
          <w:color w:val="1E293B"/>
          <w:sz w:val="21"/>
          <w:szCs w:val="21"/>
        </w:rPr>
        <w:t xml:space="preserve">[PAUSE] = give audience a moment to absorb</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1 — Scene Setting &amp; Sign-In</w:t>
      </w:r>
    </w:p>
    <w:p>
      <w:pPr>
        <w:pStyle w:val="Heading3"/>
        <w:spacing w:after="60" w:before="200"/>
      </w:pPr>
      <w:r>
        <w:rPr>
          <w:rFonts w:ascii="Calibri" w:cs="Calibri" w:eastAsia="Calibri" w:hAnsi="Calibri"/>
          <w:b/>
          <w:bCs/>
          <w:color w:val="334155"/>
          <w:sz w:val="22"/>
          <w:szCs w:val="22"/>
        </w:rPr>
        <w:t xml:space="preserve">Duration: ~2 minutes</w:t>
      </w:r>
    </w:p>
    <w:p>
      <w:pPr>
        <w:spacing w:after="80" w:before="60"/>
      </w:pPr>
      <w:r>
        <w:rPr>
          <w:rFonts w:ascii="Calibri" w:cs="Calibri" w:eastAsia="Calibri" w:hAnsi="Calibri"/>
          <w:color w:val="1E293B"/>
          <w:sz w:val="22"/>
          <w:szCs w:val="22"/>
        </w:rPr>
        <w:t xml:space="preserve">Begin with the browser open to the login page at:</w:t>
      </w:r>
    </w:p>
    <w:p>
      <w:pPr>
        <w:spacing w:after="80" w:before="40"/>
        <w:ind w:left="360"/>
      </w:pPr>
      <w:r>
        <w:rPr>
          <w:rFonts w:ascii="Courier New" w:cs="Courier New" w:eastAsia="Courier New" w:hAnsi="Courier New"/>
          <w:color w:val="1D4ED8"/>
          <w:sz w:val="20"/>
          <w:szCs w:val="20"/>
        </w:rPr>
        <w:t xml:space="preserve">robertmccoyprojects.com/research/knowledge-systems/insurance/login</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What you're looking at is the operator login portal for Pinnacle Insurance Group's internal knowledge management system. This is a P&amp;C brokerage — property and casualty — and their document workflow is one of the most compliance-sensitive in the industry.</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Every person who touches a document in this system is a named, credentialed operator. There's no anonymous access, no shared logins. Each account is tied to a license number and a defined role — Administrator, Approver, Operator, or Viewer.</w:t>
      </w:r>
      <w:r>
        <w:rPr>
          <w:rFonts w:ascii="Calibri" w:cs="Calibri" w:eastAsia="Calibri" w:hAnsi="Calibri"/>
          <w:i/>
          <w:iCs/>
          <w:color w:val="B45309"/>
          <w:sz w:val="22"/>
          <w:szCs w:val="22"/>
        </w:rPr>
        <w:t xml:space="preserve">”</w:t>
      </w:r>
    </w:p>
    <w:p>
      <w:pPr>
        <w:spacing w:after="40" w:before="80"/>
      </w:pPr>
      <w:r>
        <w:rPr>
          <w:rFonts w:ascii="Calibri" w:cs="Calibri" w:eastAsia="Calibri" w:hAnsi="Calibri"/>
          <w:b/>
          <w:bCs/>
          <w:color w:val="334155"/>
          <w:sz w:val="21"/>
          <w:szCs w:val="21"/>
        </w:rPr>
        <w:t xml:space="preserve">At this point, click your name in the staff accounts panel.</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Click 'Robert McCoy' — the system logs you in immediately as ADMIN.</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One click and I'm in — fully authenticated as a named administrator. The system knows who I am, it records everything I do, and it will attribute every action to this session. That audit trail is non-negotiable in a regulated environment.</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[PAUSE] </w:t>
      </w:r>
      <w:r>
        <w:rPr>
          <w:rFonts w:ascii="Calibri" w:cs="Calibri" w:eastAsia="Calibri" w:hAnsi="Calibri"/>
          <w:color w:val="6B7280"/>
          <w:sz w:val="20"/>
          <w:szCs w:val="20"/>
        </w:rPr>
        <w:t xml:space="preserve">Let the audience see the pipeline interface load.</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2 — The Ingestion Pipeline Overview</w:t>
      </w:r>
    </w:p>
    <w:p>
      <w:pPr>
        <w:pStyle w:val="Heading3"/>
        <w:spacing w:after="60" w:before="200"/>
      </w:pPr>
      <w:r>
        <w:rPr>
          <w:rFonts w:ascii="Calibri" w:cs="Calibri" w:eastAsia="Calibri" w:hAnsi="Calibri"/>
          <w:b/>
          <w:bCs/>
          <w:color w:val="334155"/>
          <w:sz w:val="22"/>
          <w:szCs w:val="22"/>
        </w:rPr>
        <w:t xml:space="preserve">Duration: ~2 minutes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Before we upload anything, let me orient you to this interface. You're looking at the Pinnacle document ingestion pipeline — the front door for every piece of paper that enters this KMS.</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workflow has three distinct layers. First, the Staging Queue — this is where documents land after upload, before anyone has reviewed them. Think of it as the inbox. Second, the Repository — this is the approved, classified, searchable archive. Only documents that pass human review land here. Third, the Audit Trail — every action, every modification, every approval is permanently recorded.</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Point to the three tabs: Staging, Repository, Audit Trail.</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pipeline is AI-first but human-controlled. GPT-4o handles the initial classification — reading the filename, structure, and context of each document to assign it a document type, line of business, client, and policy period. But no document moves to the repository without a human reviewing and approving that classification. That's the Human-in-the-Loop design.</w:t>
      </w:r>
      <w:r>
        <w:rPr>
          <w:rFonts w:ascii="Calibri" w:cs="Calibri" w:eastAsia="Calibri" w:hAnsi="Calibri"/>
          <w:i/>
          <w:iCs/>
          <w:color w:val="B45309"/>
          <w:sz w:val="22"/>
          <w:szCs w:val="22"/>
        </w:rPr>
        <w:t xml:space="preserve">”</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3 — Loading the ZIP File</w:t>
      </w:r>
    </w:p>
    <w:p>
      <w:pPr>
        <w:pStyle w:val="Heading3"/>
        <w:spacing w:after="60" w:before="200"/>
      </w:pPr>
      <w:r>
        <w:rPr>
          <w:rFonts w:ascii="Calibri" w:cs="Calibri" w:eastAsia="Calibri" w:hAnsi="Calibri"/>
          <w:b/>
          <w:bCs/>
          <w:color w:val="334155"/>
          <w:sz w:val="22"/>
          <w:szCs w:val="22"/>
        </w:rPr>
        <w:t xml:space="preserve">Duration: ~1.5 minutes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upload mechanism accepts a ZIP file — a package of PDF insurance documents. In a real brokerage, this could be a batch of new business submissions, a renewal package, or a claims file dump. The system doesn't care about structure inside the ZIP — it reads every PDF it finds and routes them through the classification engine.</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Point to the drop zone — the dashed-border upload area.</w:t>
      </w:r>
    </w:p>
    <w:p>
      <w:pPr>
        <w:spacing w:after="40" w:before="80"/>
      </w:pPr>
      <w:r>
        <w:rPr>
          <w:rFonts w:ascii="Calibri" w:cs="Calibri" w:eastAsia="Calibri" w:hAnsi="Calibri"/>
          <w:b/>
          <w:bCs/>
          <w:color w:val="334155"/>
          <w:sz w:val="21"/>
          <w:szCs w:val="21"/>
        </w:rPr>
        <w:t xml:space="preserve">At this point, drag the sample ZIP file into the drop zone — or click to browse and select it.</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I'm going to drop our sample package now — this contains a representative mix of the document types a brokerage like Pinnacle would handle on a typical day.</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Drop the ZIP. The progress indicator appears — 'Processing ZIP…'</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system is now unpacking the ZIP, extracting each PDF, and queuing them for classification. In the background, each document is being sent to GPT-4o with a structured prompt that includes our full taxonomy — every document type this brokerage handles, every line of business, every valid policy period.</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[PAUSE] </w:t>
      </w:r>
      <w:r>
        <w:rPr>
          <w:rFonts w:ascii="Calibri" w:cs="Calibri" w:eastAsia="Calibri" w:hAnsi="Calibri"/>
          <w:color w:val="6B7280"/>
          <w:sz w:val="20"/>
          <w:szCs w:val="20"/>
        </w:rPr>
        <w:t xml:space="preserve">Wait for processing to complete. Watch the staging cards appear.</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4 — AI Classification Results (Staging Queue)</w:t>
      </w:r>
    </w:p>
    <w:p>
      <w:pPr>
        <w:pStyle w:val="Heading3"/>
        <w:spacing w:after="60" w:before="200"/>
      </w:pPr>
      <w:r>
        <w:rPr>
          <w:rFonts w:ascii="Calibri" w:cs="Calibri" w:eastAsia="Calibri" w:hAnsi="Calibri"/>
          <w:b/>
          <w:bCs/>
          <w:color w:val="334155"/>
          <w:sz w:val="22"/>
          <w:szCs w:val="22"/>
        </w:rPr>
        <w:t xml:space="preserve">Duration: ~3 minutes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And there they are. Every document in the package is now sitting in the Staging Queue, fully classified by the AI. Let me walk you through what you're seeing on each card.</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Zoom in on a single staging card.</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Each document card shows you the original filename, the AI-assigned document type, the line of business — whether that's Commercial Auto, General Liability, Property, Workers' Comp — the client name, the policy period, and a confidence indicator.</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AI doesn't just guess and hope. It assigns one of our twenty-one specific document codes — things like APP for Application, LRN for Loss Run, COI for Certificate of Insurance, POL for Policy Document. It maps each document to the correct phase in the insurance lifecycle — Submission, Binding and Policy, Servicing, Claims, Compliance and Admin.</w:t>
      </w:r>
      <w:r>
        <w:rPr>
          <w:rFonts w:ascii="Calibri" w:cs="Calibri" w:eastAsia="Calibri" w:hAnsi="Calibri"/>
          <w:i/>
          <w:iCs/>
          <w:color w:val="B45309"/>
          <w:sz w:val="22"/>
          <w:szCs w:val="22"/>
        </w:rPr>
        <w:t xml:space="preserve">”</w:t>
      </w:r>
    </w:p>
    <w:p>
      <w:pPr>
        <w:pStyle w:val="ListParagraph"/>
        <w:numPr>
          <w:ilvl w:val="0"/>
          <w:numId w:val="1"/>
        </w:numPr>
        <w:spacing w:after="40" w:before="40"/>
        <w:ind w:left="360" w:hanging="180"/>
      </w:pPr>
      <w:r>
        <w:rPr>
          <w:rFonts w:ascii="Calibri" w:cs="Calibri" w:eastAsia="Calibri" w:hAnsi="Calibri"/>
          <w:color w:val="1E293B"/>
          <w:sz w:val="21"/>
          <w:szCs w:val="21"/>
        </w:rPr>
        <w:t xml:space="preserve">Submission phase: Applications, loss runs, schedules, risk questionnaires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Binding &amp; Policy: Binders, policy documents, endorsements, premium finance agreements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Servicing: Certificates, ID cards, change requests, renewal notices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Claims: First notice of loss, adjuster reports, settlement agreements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Compliance &amp; Admin: Audits, surplus lines filings, cancellation notices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Now here's something important — GPT-4o is good, but it's not infallible. Some documents are ambiguous. A loss run submitted mid-term might look like a claims document. A renewal proposal might get flagged as a new application. That's exactly why we have the next step.</w:t>
      </w:r>
      <w:r>
        <w:rPr>
          <w:rFonts w:ascii="Calibri" w:cs="Calibri" w:eastAsia="Calibri" w:hAnsi="Calibri"/>
          <w:i/>
          <w:iCs/>
          <w:color w:val="B45309"/>
          <w:sz w:val="22"/>
          <w:szCs w:val="22"/>
        </w:rPr>
        <w:t xml:space="preserve">”</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5 — Human-in-the-Loop Review</w:t>
      </w:r>
    </w:p>
    <w:p>
      <w:pPr>
        <w:pStyle w:val="Heading3"/>
        <w:spacing w:after="60" w:before="200"/>
      </w:pPr>
      <w:r>
        <w:rPr>
          <w:rFonts w:ascii="Calibri" w:cs="Calibri" w:eastAsia="Calibri" w:hAnsi="Calibri"/>
          <w:b/>
          <w:bCs/>
          <w:color w:val="334155"/>
          <w:sz w:val="22"/>
          <w:szCs w:val="22"/>
        </w:rPr>
        <w:t xml:space="preserve">Duration: ~4 minutes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This is where the human enters the loop. No document moves to the permanent repository without an operator reviewing the AI's work. This is a fundamental design choice — we call it Human-in-the-Loop, or HiL, and it's the difference between a tool that creates compliance risk and one that manages it.</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Expand a staging card to show the full metadata fields.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For each document, the reviewer sees the full AI classification — every field, every assigned value. They can accept the AI's work with one click, or they can edit any field before filing. Let me show you the edit workflow.</w:t>
      </w:r>
      <w:r>
        <w:rPr>
          <w:rFonts w:ascii="Calibri" w:cs="Calibri" w:eastAsia="Calibri" w:hAnsi="Calibri"/>
          <w:i/>
          <w:iCs/>
          <w:color w:val="B45309"/>
          <w:sz w:val="22"/>
          <w:szCs w:val="22"/>
        </w:rPr>
        <w:t xml:space="preserve">”</w:t>
      </w:r>
    </w:p>
    <w:p>
      <w:pPr>
        <w:pStyle w:val="Heading2"/>
        <w:spacing w:after="80" w:before="280"/>
      </w:pPr>
      <w:r>
        <w:rPr>
          <w:rFonts w:ascii="Calibri" w:cs="Calibri" w:eastAsia="Calibri" w:hAnsi="Calibri"/>
          <w:b/>
          <w:bCs/>
          <w:color w:val="1E3A5F"/>
          <w:sz w:val="26"/>
          <w:szCs w:val="26"/>
        </w:rPr>
        <w:t xml:space="preserve">5a — Accepting a Classification</w:t>
      </w:r>
    </w:p>
    <w:p>
      <w:pPr>
        <w:spacing w:after="40" w:before="80"/>
      </w:pPr>
      <w:r>
        <w:rPr>
          <w:rFonts w:ascii="Calibri" w:cs="Calibri" w:eastAsia="Calibri" w:hAnsi="Calibri"/>
          <w:b/>
          <w:bCs/>
          <w:color w:val="334155"/>
          <w:sz w:val="21"/>
          <w:szCs w:val="21"/>
        </w:rPr>
        <w:t xml:space="preserve">Click 'Review &amp; Edit' on a clearly correct document.</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The Edit modal opens with all AI-assigned metadata pre-filled.</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Everything is pre-populated — the operator's job is to verify, not re-enter. If the AI got it right, which it does the vast majority of the time for clear-cut documents, the reviewer just scans the fields and clicks Approve. Done. One click. The document moves to the repository, attributed to this operator, timestamped, logged.</w:t>
      </w:r>
      <w:r>
        <w:rPr>
          <w:rFonts w:ascii="Calibri" w:cs="Calibri" w:eastAsia="Calibri" w:hAnsi="Calibri"/>
          <w:i/>
          <w:iCs/>
          <w:color w:val="B45309"/>
          <w:sz w:val="22"/>
          <w:szCs w:val="22"/>
        </w:rPr>
        <w:t xml:space="preserve">”</w:t>
      </w:r>
    </w:p>
    <w:p>
      <w:pPr>
        <w:pStyle w:val="Heading2"/>
        <w:spacing w:after="80" w:before="280"/>
      </w:pPr>
      <w:r>
        <w:rPr>
          <w:rFonts w:ascii="Calibri" w:cs="Calibri" w:eastAsia="Calibri" w:hAnsi="Calibri"/>
          <w:b/>
          <w:bCs/>
          <w:color w:val="1E3A5F"/>
          <w:sz w:val="26"/>
          <w:szCs w:val="26"/>
        </w:rPr>
        <w:t xml:space="preserve">5b — Overriding a Classification</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Now let me show you a more interesting case — a document where the AI's classification needs correction.</w:t>
      </w:r>
      <w:r>
        <w:rPr>
          <w:rFonts w:ascii="Calibri" w:cs="Calibri" w:eastAsia="Calibri" w:hAnsi="Calibri"/>
          <w:i/>
          <w:iCs/>
          <w:color w:val="B45309"/>
          <w:sz w:val="22"/>
          <w:szCs w:val="22"/>
        </w:rPr>
        <w:t xml:space="preserve">”</w:t>
      </w:r>
    </w:p>
    <w:p>
      <w:pPr>
        <w:spacing w:after="40" w:before="80"/>
      </w:pPr>
      <w:r>
        <w:rPr>
          <w:rFonts w:ascii="Calibri" w:cs="Calibri" w:eastAsia="Calibri" w:hAnsi="Calibri"/>
          <w:b/>
          <w:bCs/>
          <w:color w:val="334155"/>
          <w:sz w:val="21"/>
          <w:szCs w:val="21"/>
        </w:rPr>
        <w:t xml:space="preserve">Click 'Review &amp; Edit' on a document with an uncertain or incorrect type.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The edit modal opens. Change the Document Type field.</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I'm going to change the document type. Watch what happens — the system immediately flags this as a type change and requires me to provide a reason. This is mandatory. I can't save the change without explaining why.</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The 'Reason for Change' field appears with an asterisk — required.</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This is a governance requirement. If the AI assigned 'Loss Run' and I'm changing it to 'Claims — First Notice of Loss,' that's a meaningful distinction with real compliance implications. The system demands an explanation, and that explanation becomes part of the permanent record attached to this document.</w:t>
      </w:r>
      <w:r>
        <w:rPr>
          <w:rFonts w:ascii="Calibri" w:cs="Calibri" w:eastAsia="Calibri" w:hAnsi="Calibri"/>
          <w:i/>
          <w:iCs/>
          <w:color w:val="B45309"/>
          <w:sz w:val="22"/>
          <w:szCs w:val="22"/>
        </w:rPr>
        <w:t xml:space="preserve">”</w:t>
      </w:r>
    </w:p>
    <w:p>
      <w:pPr>
        <w:spacing w:after="40" w:before="80"/>
      </w:pPr>
      <w:r>
        <w:rPr>
          <w:rFonts w:ascii="Calibri" w:cs="Calibri" w:eastAsia="Calibri" w:hAnsi="Calibri"/>
          <w:b/>
          <w:bCs/>
          <w:color w:val="334155"/>
          <w:sz w:val="21"/>
          <w:szCs w:val="21"/>
        </w:rPr>
        <w:t xml:space="preserve">Type a brief reason, then click Approve.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And now the document moves to the repository — with my name, my role, my reason, and the timestamp all permanently attached to that classification decision. No one can come back later and wonder who changed what or why.</w:t>
      </w:r>
      <w:r>
        <w:rPr>
          <w:rFonts w:ascii="Calibri" w:cs="Calibri" w:eastAsia="Calibri" w:hAnsi="Calibri"/>
          <w:i/>
          <w:iCs/>
          <w:color w:val="B45309"/>
          <w:sz w:val="22"/>
          <w:szCs w:val="22"/>
        </w:rPr>
        <w:t xml:space="preserve">”</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6 — The Repository &amp; Version Control</w:t>
      </w:r>
    </w:p>
    <w:p>
      <w:pPr>
        <w:pStyle w:val="Heading3"/>
        <w:spacing w:after="60" w:before="200"/>
      </w:pPr>
      <w:r>
        <w:rPr>
          <w:rFonts w:ascii="Calibri" w:cs="Calibri" w:eastAsia="Calibri" w:hAnsi="Calibri"/>
          <w:b/>
          <w:bCs/>
          <w:color w:val="334155"/>
          <w:sz w:val="22"/>
          <w:szCs w:val="22"/>
        </w:rPr>
        <w:t xml:space="preserve">Duration: ~3 minutes</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Click the 'Repository' tab.</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Repository is the permanent, approved document archive. Everything you see here has passed human review. It's organized by client, line of business, and policy period — the same hierarchy a brokerage would use in a physical file cabinet, but fully searchable, filterable, and auditable.</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Scroll through the repository. Point to the hierarchy.</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You can filter by line of business — say, Commercial Auto — or by document phase, or by policy period. Any document in this repository can be located in seconds. In a traditional brokerage, locating a specific endorsement from three years ago could take an hour.</w:t>
      </w:r>
      <w:r>
        <w:rPr>
          <w:rFonts w:ascii="Calibri" w:cs="Calibri" w:eastAsia="Calibri" w:hAnsi="Calibri"/>
          <w:i/>
          <w:iCs/>
          <w:color w:val="B45309"/>
          <w:sz w:val="22"/>
          <w:szCs w:val="22"/>
        </w:rPr>
        <w:t xml:space="preserve">”</w:t>
      </w:r>
    </w:p>
    <w:p>
      <w:pPr>
        <w:pStyle w:val="Heading2"/>
        <w:spacing w:after="80" w:before="280"/>
      </w:pPr>
      <w:r>
        <w:rPr>
          <w:rFonts w:ascii="Calibri" w:cs="Calibri" w:eastAsia="Calibri" w:hAnsi="Calibri"/>
          <w:b/>
          <w:bCs/>
          <w:color w:val="1E3A5F"/>
          <w:sz w:val="26"/>
          <w:szCs w:val="26"/>
        </w:rPr>
        <w:t xml:space="preserve">6a — Modifying a Repository Document</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Now — what happens when something in the repository needs to change? A document gets re-classified after a coverage dispute. A client name changes after a merger. An error is caught in an audit. This is where version control becomes essential.</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Click on any document in the repository to open the detail panel.</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Every document in the repository has a detail panel — full metadata, a link to the source PDF, and a complete change history. Let me show you what that looks like after we make a modification.</w:t>
      </w:r>
      <w:r>
        <w:rPr>
          <w:rFonts w:ascii="Calibri" w:cs="Calibri" w:eastAsia="Calibri" w:hAnsi="Calibri"/>
          <w:i/>
          <w:iCs/>
          <w:color w:val="B45309"/>
          <w:sz w:val="22"/>
          <w:szCs w:val="22"/>
        </w:rPr>
        <w:t xml:space="preserve">”</w:t>
      </w:r>
    </w:p>
    <w:p>
      <w:pPr>
        <w:spacing w:after="40" w:before="80"/>
      </w:pPr>
      <w:r>
        <w:rPr>
          <w:rFonts w:ascii="Calibri" w:cs="Calibri" w:eastAsia="Calibri" w:hAnsi="Calibri"/>
          <w:b/>
          <w:bCs/>
          <w:color w:val="334155"/>
          <w:sz w:val="21"/>
          <w:szCs w:val="21"/>
        </w:rPr>
        <w:t xml:space="preserve">Click 'Modify Record (HiL)' on a repository document.</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The KMS Modify modal opens with current values pre-filled.</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Same experience as the staging edit — every field is pre-populated. I change the value I need to change, I provide a mandatory reason, I submit. But now watch what happens in the version history.</w:t>
      </w:r>
      <w:r>
        <w:rPr>
          <w:rFonts w:ascii="Calibri" w:cs="Calibri" w:eastAsia="Calibri" w:hAnsi="Calibri"/>
          <w:i/>
          <w:iCs/>
          <w:color w:val="B45309"/>
          <w:sz w:val="22"/>
          <w:szCs w:val="22"/>
        </w:rPr>
        <w:t xml:space="preserve">”</w:t>
      </w:r>
    </w:p>
    <w:p>
      <w:pPr>
        <w:spacing w:after="40" w:before="80"/>
      </w:pPr>
      <w:r>
        <w:rPr>
          <w:rFonts w:ascii="Calibri" w:cs="Calibri" w:eastAsia="Calibri" w:hAnsi="Calibri"/>
          <w:b/>
          <w:bCs/>
          <w:color w:val="334155"/>
          <w:sz w:val="21"/>
          <w:szCs w:val="21"/>
        </w:rPr>
        <w:t xml:space="preserve">Make a change, enter a reason, and click Save.</w:t>
      </w:r>
    </w:p>
    <w:p>
      <w:pPr>
        <w:pStyle w:val="Heading2"/>
        <w:spacing w:after="80" w:before="280"/>
      </w:pPr>
      <w:r>
        <w:rPr>
          <w:rFonts w:ascii="Calibri" w:cs="Calibri" w:eastAsia="Calibri" w:hAnsi="Calibri"/>
          <w:b/>
          <w:bCs/>
          <w:color w:val="1E3A5F"/>
          <w:sz w:val="26"/>
          <w:szCs w:val="26"/>
        </w:rPr>
        <w:t xml:space="preserve">6b — Reading the Version History</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The Change History section of the detail panel updates immediately.</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Right here, inline, permanently — the change history for this document. It shows you the field that changed, the old value crossed out, the new value, the operator's name and role, the reason they gave, and the exact timestamp. This is immutable. You cannot delete this record. You cannot edit it. It exists for the life of the document.</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Multiple changes stack in chronological order. If this document has been modified six times over three years by four different operators, you see all six changes, all four operators, all six reasons. That is a complete chain of custody.</w:t>
      </w:r>
      <w:r>
        <w:rPr>
          <w:rFonts w:ascii="Calibri" w:cs="Calibri" w:eastAsia="Calibri" w:hAnsi="Calibri"/>
          <w:i/>
          <w:iCs/>
          <w:color w:val="B45309"/>
          <w:sz w:val="22"/>
          <w:szCs w:val="22"/>
        </w:rPr>
        <w:t xml:space="preserve">”</w:t>
      </w:r>
    </w:p>
    <w:p>
      <w:pPr>
        <w:pStyle w:val="ListParagraph"/>
        <w:numPr>
          <w:ilvl w:val="0"/>
          <w:numId w:val="1"/>
        </w:numPr>
        <w:spacing w:after="40" w:before="40"/>
        <w:ind w:left="360" w:hanging="180"/>
      </w:pPr>
      <w:r>
        <w:rPr>
          <w:rFonts w:ascii="Calibri" w:cs="Calibri" w:eastAsia="Calibri" w:hAnsi="Calibri"/>
          <w:color w:val="1E293B"/>
          <w:sz w:val="21"/>
          <w:szCs w:val="21"/>
        </w:rPr>
        <w:t xml:space="preserve">Field name — clearly labelled in the history entry</w:t>
      </w:r>
    </w:p>
    <w:p>
      <w:pPr>
        <w:pStyle w:val="ListParagraph"/>
        <w:numPr>
          <w:ilvl w:val="0"/>
          <w:numId w:val="1"/>
        </w:numPr>
        <w:spacing w:after="40" w:before="40"/>
        <w:ind w:left="360" w:hanging="180"/>
      </w:pPr>
      <w:r>
        <w:rPr>
          <w:rFonts w:ascii="Calibri" w:cs="Calibri" w:eastAsia="Calibri" w:hAnsi="Calibri"/>
          <w:color w:val="1E293B"/>
          <w:sz w:val="21"/>
          <w:szCs w:val="21"/>
        </w:rPr>
        <w:t xml:space="preserve">Old value (shown with strikethrough in red)</w:t>
      </w:r>
    </w:p>
    <w:p>
      <w:pPr>
        <w:pStyle w:val="ListParagraph"/>
        <w:numPr>
          <w:ilvl w:val="0"/>
          <w:numId w:val="1"/>
        </w:numPr>
        <w:spacing w:after="40" w:before="40"/>
        <w:ind w:left="360" w:hanging="180"/>
      </w:pPr>
      <w:r>
        <w:rPr>
          <w:rFonts w:ascii="Calibri" w:cs="Calibri" w:eastAsia="Calibri" w:hAnsi="Calibri"/>
          <w:color w:val="1E293B"/>
          <w:sz w:val="21"/>
          <w:szCs w:val="21"/>
        </w:rPr>
        <w:t xml:space="preserve">New value (shown in green)</w:t>
      </w:r>
    </w:p>
    <w:p>
      <w:pPr>
        <w:pStyle w:val="ListParagraph"/>
        <w:numPr>
          <w:ilvl w:val="0"/>
          <w:numId w:val="1"/>
        </w:numPr>
        <w:spacing w:after="40" w:before="40"/>
        <w:ind w:left="360" w:hanging="180"/>
      </w:pPr>
      <w:r>
        <w:rPr>
          <w:rFonts w:ascii="Calibri" w:cs="Calibri" w:eastAsia="Calibri" w:hAnsi="Calibri"/>
          <w:color w:val="1E293B"/>
          <w:sz w:val="21"/>
          <w:szCs w:val="21"/>
        </w:rPr>
        <w:t xml:space="preserve">Reason for change — operator's own words, quoted</w:t>
      </w:r>
    </w:p>
    <w:p>
      <w:pPr>
        <w:pStyle w:val="ListParagraph"/>
        <w:numPr>
          <w:ilvl w:val="0"/>
          <w:numId w:val="1"/>
        </w:numPr>
        <w:spacing w:after="40" w:before="40"/>
        <w:ind w:left="360" w:hanging="180"/>
      </w:pPr>
      <w:r>
        <w:rPr>
          <w:rFonts w:ascii="Calibri" w:cs="Calibri" w:eastAsia="Calibri" w:hAnsi="Calibri"/>
          <w:color w:val="1E293B"/>
          <w:sz w:val="21"/>
          <w:szCs w:val="21"/>
        </w:rPr>
        <w:t xml:space="preserve">Operator name and role badge — exactly who made the change</w:t>
      </w:r>
    </w:p>
    <w:p>
      <w:pPr>
        <w:pStyle w:val="ListParagraph"/>
        <w:numPr>
          <w:ilvl w:val="0"/>
          <w:numId w:val="1"/>
        </w:numPr>
        <w:spacing w:after="40" w:before="40"/>
        <w:ind w:left="360" w:hanging="180"/>
      </w:pPr>
      <w:r>
        <w:rPr>
          <w:rFonts w:ascii="Calibri" w:cs="Calibri" w:eastAsia="Calibri" w:hAnsi="Calibri"/>
          <w:color w:val="1E293B"/>
          <w:sz w:val="21"/>
          <w:szCs w:val="21"/>
        </w:rPr>
        <w:t xml:space="preserve">Timestamp — to the second</w:t>
      </w:r>
    </w:p>
    <w:p>
      <w:pPr>
        <w:spacing w:after="80" w:before="60"/>
        <w:ind w:left="360"/>
      </w:pPr>
      <w:r>
        <w:rPr>
          <w:rFonts w:ascii="Calibri" w:cs="Calibri" w:eastAsia="Calibri" w:hAnsi="Calibri"/>
          <w:b/>
          <w:bCs/>
          <w:color w:val="6B7280"/>
          <w:sz w:val="20"/>
          <w:szCs w:val="20"/>
        </w:rPr>
        <w:t xml:space="preserve">[PAUSE] </w:t>
      </w:r>
      <w:r>
        <w:rPr>
          <w:rFonts w:ascii="Calibri" w:cs="Calibri" w:eastAsia="Calibri" w:hAnsi="Calibri"/>
          <w:color w:val="6B7280"/>
          <w:sz w:val="20"/>
          <w:szCs w:val="20"/>
        </w:rPr>
        <w:t xml:space="preserve">Let the audience absorb the version history display.</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7 — The Audit Trail</w:t>
      </w:r>
    </w:p>
    <w:p>
      <w:pPr>
        <w:pStyle w:val="Heading3"/>
        <w:spacing w:after="60" w:before="200"/>
      </w:pPr>
      <w:r>
        <w:rPr>
          <w:rFonts w:ascii="Calibri" w:cs="Calibri" w:eastAsia="Calibri" w:hAnsi="Calibri"/>
          <w:b/>
          <w:bCs/>
          <w:color w:val="334155"/>
          <w:sz w:val="22"/>
          <w:szCs w:val="22"/>
        </w:rPr>
        <w:t xml:space="preserve">Duration: ~2 minutes</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Click the 'Audit Trail' tab in the pipeline.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If the version history is the document's personal record, the audit trail is the system's ledger. Every action that has ever occurred in this KMS — every upload, every approval, every rejection, every modification — is logged here in the order it happened.</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This is what a regulator sees if they ask for your compliance records. This is what your E&amp;O carrier looks at after a coverage dispute. This is what your internal audit function reviews during a quality assurance cycle.</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Notice the color coding — approvals in green, rejections in red, modifications in amber. The operator name and role on every single row. The timestamp on every single row. This log cannot be cleared, cannot be edited, cannot be selectively filtered. What happened, happened — and it's here.</w:t>
      </w:r>
      <w:r>
        <w:rPr>
          <w:rFonts w:ascii="Calibri" w:cs="Calibri" w:eastAsia="Calibri" w:hAnsi="Calibri"/>
          <w:i/>
          <w:iCs/>
          <w:color w:val="B45309"/>
          <w:sz w:val="22"/>
          <w:szCs w:val="22"/>
        </w:rPr>
        <w:t xml:space="preserve">”</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8 — The KMS Portal</w:t>
      </w:r>
    </w:p>
    <w:p>
      <w:pPr>
        <w:pStyle w:val="Heading3"/>
        <w:spacing w:after="60" w:before="200"/>
      </w:pPr>
      <w:r>
        <w:rPr>
          <w:rFonts w:ascii="Calibri" w:cs="Calibri" w:eastAsia="Calibri" w:hAnsi="Calibri"/>
          <w:b/>
          <w:bCs/>
          <w:color w:val="334155"/>
          <w:sz w:val="22"/>
          <w:szCs w:val="22"/>
        </w:rPr>
        <w:t xml:space="preserve">Duration: ~2 minutes</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Navigate to the KMS Portal tab or click the 'KMS Portal' button in the header.</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pipeline is the back-office workflow. The KMS portal is the front-office view — where producers, account managers, and account executives come to find documents they need.</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portal presents the same repository, but organized for retrieval rather than filing. The navigation follows the natural hierarchy of a brokerage: Client → Line of Business → Policy Period → Document. Every approved document is one or two clicks away from anyone with access.</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Search is full-text across document type, client, line, and period. Filters stack — I can say 'show me all certificates of insurance for Commercial Auto policies in the 2024-2025 period' and get exactly that in under a second.</w:t>
      </w:r>
      <w:r>
        <w:rPr>
          <w:rFonts w:ascii="Calibri" w:cs="Calibri" w:eastAsia="Calibri" w:hAnsi="Calibri"/>
          <w:i/>
          <w:iCs/>
          <w:color w:val="B45309"/>
          <w:sz w:val="22"/>
          <w:szCs w:val="22"/>
        </w:rPr>
        <w:t xml:space="preserve">”</w:t>
      </w:r>
    </w:p>
    <w:p>
      <w:pPr>
        <w:spacing w:after="80" w:before="60"/>
        <w:ind w:left="360"/>
      </w:pPr>
      <w:r>
        <w:rPr>
          <w:rFonts w:ascii="Calibri" w:cs="Calibri" w:eastAsia="Calibri" w:hAnsi="Calibri"/>
          <w:b/>
          <w:bCs/>
          <w:color w:val="6B7280"/>
          <w:sz w:val="20"/>
          <w:szCs w:val="20"/>
        </w:rPr>
        <w:t xml:space="preserve">[ON SCREEN] </w:t>
      </w:r>
      <w:r>
        <w:rPr>
          <w:rFonts w:ascii="Calibri" w:cs="Calibri" w:eastAsia="Calibri" w:hAnsi="Calibri"/>
          <w:color w:val="6B7280"/>
          <w:sz w:val="20"/>
          <w:szCs w:val="20"/>
        </w:rPr>
        <w:t xml:space="preserve">Demonstrate a search or filter combination.</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And from any document card, one click opens the source PDF in a new tab. No downloading required. No emailing files around. No shared drives. The document is here, it's current, it's the approved version — period.</w:t>
      </w:r>
      <w:r>
        <w:rPr>
          <w:rFonts w:ascii="Calibri" w:cs="Calibri" w:eastAsia="Calibri" w:hAnsi="Calibri"/>
          <w:i/>
          <w:iCs/>
          <w:color w:val="B45309"/>
          <w:sz w:val="22"/>
          <w:szCs w:val="22"/>
        </w:rPr>
        <w:t xml:space="preserve">”</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Section 9 — Closing the Demo</w:t>
      </w:r>
    </w:p>
    <w:p>
      <w:pPr>
        <w:pStyle w:val="Heading3"/>
        <w:spacing w:after="60" w:before="200"/>
      </w:pPr>
      <w:r>
        <w:rPr>
          <w:rFonts w:ascii="Calibri" w:cs="Calibri" w:eastAsia="Calibri" w:hAnsi="Calibri"/>
          <w:b/>
          <w:bCs/>
          <w:color w:val="334155"/>
          <w:sz w:val="22"/>
          <w:szCs w:val="22"/>
        </w:rPr>
        <w:t xml:space="preserve">Duration: ~2 minutes</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Let me close with what you've actually seen today, because I want to be precise about it.</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You've seen a full-cycle AI document management system — not a concept, not a mockup, not a slide deck. A working system. Documents went in as raw PDFs inside a ZIP file. GPT-4o read them and classified them — assigned document type, line of business, client, policy period. A human operator reviewed that work, corrected one classification, explained why, and filed both documents to the repository. The KMS recorded every action, attributed it to named operators, and made all of it instantly retrievable.</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The intelligence is AI. The judgment is human. The accountability is total.</w:t>
      </w:r>
      <w:r>
        <w:rPr>
          <w:rFonts w:ascii="Calibri" w:cs="Calibri" w:eastAsia="Calibri" w:hAnsi="Calibri"/>
          <w:i/>
          <w:iCs/>
          <w:color w:val="B45309"/>
          <w:sz w:val="22"/>
          <w:szCs w:val="22"/>
        </w:rPr>
        <w:t xml:space="preserve">”</w:t>
      </w:r>
    </w:p>
    <w:p>
      <w:pPr>
        <w:spacing w:after="80" w:before="80"/>
        <w:ind w:left="360"/>
      </w:pPr>
      <w:r>
        <w:rPr>
          <w:rFonts w:ascii="Calibri" w:cs="Calibri" w:eastAsia="Calibri" w:hAnsi="Calibri"/>
          <w:i/>
          <w:iCs/>
          <w:color w:val="B45309"/>
          <w:sz w:val="22"/>
          <w:szCs w:val="22"/>
        </w:rPr>
        <w:t xml:space="preserve">“</w:t>
      </w:r>
      <w:r>
        <w:rPr>
          <w:rFonts w:ascii="Calibri" w:cs="Calibri" w:eastAsia="Calibri" w:hAnsi="Calibri"/>
          <w:i/>
          <w:iCs/>
          <w:color w:val="374151"/>
          <w:sz w:val="22"/>
          <w:szCs w:val="22"/>
        </w:rPr>
        <w:t xml:space="preserve">That's the system we build. If you want to run this with your own document set, you have my contact information — I will set up a guided session with your actual policy documents and walk your team through the full workflow. The conversation starts with a fifteen-minute call. Here's how to reach me.</w:t>
      </w:r>
      <w:r>
        <w:rPr>
          <w:rFonts w:ascii="Calibri" w:cs="Calibri" w:eastAsia="Calibri" w:hAnsi="Calibri"/>
          <w:i/>
          <w:iCs/>
          <w:color w:val="B45309"/>
          <w:sz w:val="22"/>
          <w:szCs w:val="22"/>
        </w:rPr>
        <w:t xml:space="preserve">”</w:t>
      </w:r>
    </w:p>
    <w:p>
      <w:pPr>
        <w:spacing w:after="40" w:before="120"/>
        <w:jc w:val="center"/>
      </w:pPr>
      <w:r>
        <w:rPr>
          <w:rFonts w:ascii="Calibri" w:cs="Calibri" w:eastAsia="Calibri" w:hAnsi="Calibri"/>
          <w:b/>
          <w:bCs/>
          <w:color w:val="B45309"/>
          <w:sz w:val="24"/>
          <w:szCs w:val="24"/>
        </w:rPr>
        <w:t xml:space="preserve">robert@theaigovernanceguy.com</w:t>
      </w:r>
    </w:p>
    <w:p>
      <w:pPr>
        <w:pBdr>
          <w:bottom w:val="single" w:color="E2E8F0" w:sz="6"/>
        </w:pBdr>
        <w:spacing w:after="160" w:before="160"/>
      </w:pPr>
      <w:r>
        <w:t xml:space="preserve"/>
      </w:r>
    </w:p>
    <w:p>
      <w:pPr>
        <w:pStyle w:val="Heading1"/>
        <w:spacing w:after="120" w:before="400"/>
      </w:pPr>
      <w:r>
        <w:rPr>
          <w:rFonts w:ascii="Calibri" w:cs="Calibri" w:eastAsia="Calibri" w:hAnsi="Calibri"/>
          <w:b/>
          <w:bCs/>
          <w:color w:val="B45309"/>
          <w:sz w:val="32"/>
          <w:szCs w:val="32"/>
        </w:rPr>
        <w:t xml:space="preserve">Appendix — Quick Reference</w:t>
      </w:r>
    </w:p>
    <w:p>
      <w:pPr>
        <w:pStyle w:val="Heading2"/>
        <w:spacing w:after="80" w:before="280"/>
      </w:pPr>
      <w:r>
        <w:rPr>
          <w:rFonts w:ascii="Calibri" w:cs="Calibri" w:eastAsia="Calibri" w:hAnsi="Calibri"/>
          <w:b/>
          <w:bCs/>
          <w:color w:val="1E3A5F"/>
          <w:sz w:val="26"/>
          <w:szCs w:val="26"/>
        </w:rPr>
        <w:t xml:space="preserve">Demo Account Credentials</w:t>
      </w:r>
    </w:p>
    <w:p>
      <w:pPr>
        <w:spacing w:after="80" w:before="60"/>
      </w:pPr>
      <w:r>
        <w:rPr>
          <w:rFonts w:ascii="Calibri" w:cs="Calibri" w:eastAsia="Calibri" w:hAnsi="Calibri"/>
          <w:color w:val="1E293B"/>
          <w:sz w:val="22"/>
          <w:szCs w:val="22"/>
        </w:rPr>
        <w:t xml:space="preserve">All staff accounts use the password: Pinnacle2026!</w:t>
      </w:r>
    </w:p>
    <w:p>
      <w:pPr>
        <w:pStyle w:val="ListParagraph"/>
        <w:numPr>
          <w:ilvl w:val="0"/>
          <w:numId w:val="1"/>
        </w:numPr>
        <w:spacing w:after="40" w:before="40"/>
        <w:ind w:left="360" w:hanging="180"/>
      </w:pPr>
      <w:r>
        <w:rPr>
          <w:rFonts w:ascii="Calibri" w:cs="Calibri" w:eastAsia="Calibri" w:hAnsi="Calibri"/>
          <w:color w:val="1E293B"/>
          <w:sz w:val="21"/>
          <w:szCs w:val="21"/>
        </w:rPr>
        <w:t xml:space="preserve">Robert McCoy — robert.mccoy@pinnacleins.demo — ADMIN (Managing Director)</w:t>
      </w:r>
    </w:p>
    <w:p>
      <w:pPr>
        <w:pStyle w:val="ListParagraph"/>
        <w:numPr>
          <w:ilvl w:val="0"/>
          <w:numId w:val="1"/>
        </w:numPr>
        <w:spacing w:after="40" w:before="40"/>
        <w:ind w:left="360" w:hanging="180"/>
      </w:pPr>
      <w:r>
        <w:rPr>
          <w:rFonts w:ascii="Calibri" w:cs="Calibri" w:eastAsia="Calibri" w:hAnsi="Calibri"/>
          <w:color w:val="1E293B"/>
          <w:sz w:val="21"/>
          <w:szCs w:val="21"/>
        </w:rPr>
        <w:t xml:space="preserve">David Marsh — david.marsh@pinnacleins.demo — ADMIN (Agency Principal)</w:t>
      </w:r>
    </w:p>
    <w:p>
      <w:pPr>
        <w:pStyle w:val="ListParagraph"/>
        <w:numPr>
          <w:ilvl w:val="0"/>
          <w:numId w:val="1"/>
        </w:numPr>
        <w:spacing w:after="40" w:before="40"/>
        <w:ind w:left="360" w:hanging="180"/>
      </w:pPr>
      <w:r>
        <w:rPr>
          <w:rFonts w:ascii="Calibri" w:cs="Calibri" w:eastAsia="Calibri" w:hAnsi="Calibri"/>
          <w:color w:val="1E293B"/>
          <w:sz w:val="21"/>
          <w:szCs w:val="21"/>
        </w:rPr>
        <w:t xml:space="preserve">Karen Whitfield — karen.whitfield@pinnacleins.demo — APPROVER (Sr. Account Manager)</w:t>
      </w:r>
    </w:p>
    <w:p>
      <w:pPr>
        <w:pStyle w:val="ListParagraph"/>
        <w:numPr>
          <w:ilvl w:val="0"/>
          <w:numId w:val="1"/>
        </w:numPr>
        <w:spacing w:after="40" w:before="40"/>
        <w:ind w:left="360" w:hanging="180"/>
      </w:pPr>
      <w:r>
        <w:rPr>
          <w:rFonts w:ascii="Calibri" w:cs="Calibri" w:eastAsia="Calibri" w:hAnsi="Calibri"/>
          <w:color w:val="1E293B"/>
          <w:sz w:val="21"/>
          <w:szCs w:val="21"/>
        </w:rPr>
        <w:t xml:space="preserve">Tom Jennings — tom.jennings@pinnacleins.demo — OPERATOR (Document Specialist)</w:t>
      </w:r>
    </w:p>
    <w:p>
      <w:pPr>
        <w:spacing w:after="80" w:before="60"/>
      </w:pPr>
      <w:r>
        <w:rPr>
          <w:rFonts w:ascii="Calibri" w:cs="Calibri" w:eastAsia="Calibri" w:hAnsi="Calibri"/>
          <w:color w:val="1E293B"/>
          <w:sz w:val="22"/>
          <w:szCs w:val="22"/>
        </w:rPr>
        <w:t xml:space="preserve">Guest access (for shared demo links):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Email: guest@pinnacleins.demo  |  Password: ViewOnly</w:t>
      </w:r>
    </w:p>
    <w:p>
      <w:pPr>
        <w:pStyle w:val="Heading2"/>
        <w:spacing w:after="80" w:before="280"/>
      </w:pPr>
      <w:r>
        <w:rPr>
          <w:rFonts w:ascii="Calibri" w:cs="Calibri" w:eastAsia="Calibri" w:hAnsi="Calibri"/>
          <w:b/>
          <w:bCs/>
          <w:color w:val="1E3A5F"/>
          <w:sz w:val="26"/>
          <w:szCs w:val="26"/>
        </w:rPr>
        <w:t xml:space="preserve">Document Type Codes Referenced in Demo</w:t>
      </w:r>
    </w:p>
    <w:p>
      <w:pPr>
        <w:pStyle w:val="ListParagraph"/>
        <w:numPr>
          <w:ilvl w:val="0"/>
          <w:numId w:val="1"/>
        </w:numPr>
        <w:spacing w:after="40" w:before="40"/>
        <w:ind w:left="360" w:hanging="180"/>
      </w:pPr>
      <w:r>
        <w:rPr>
          <w:rFonts w:ascii="Calibri" w:cs="Calibri" w:eastAsia="Calibri" w:hAnsi="Calibri"/>
          <w:color w:val="1E293B"/>
          <w:sz w:val="21"/>
          <w:szCs w:val="21"/>
        </w:rPr>
        <w:t xml:space="preserve">APP — Application (Submission)</w:t>
      </w:r>
    </w:p>
    <w:p>
      <w:pPr>
        <w:pStyle w:val="ListParagraph"/>
        <w:numPr>
          <w:ilvl w:val="0"/>
          <w:numId w:val="1"/>
        </w:numPr>
        <w:spacing w:after="40" w:before="40"/>
        <w:ind w:left="360" w:hanging="180"/>
      </w:pPr>
      <w:r>
        <w:rPr>
          <w:rFonts w:ascii="Calibri" w:cs="Calibri" w:eastAsia="Calibri" w:hAnsi="Calibri"/>
          <w:color w:val="1E293B"/>
          <w:sz w:val="21"/>
          <w:szCs w:val="21"/>
        </w:rPr>
        <w:t xml:space="preserve">LRN — Loss Run (Submission)</w:t>
      </w:r>
    </w:p>
    <w:p>
      <w:pPr>
        <w:pStyle w:val="ListParagraph"/>
        <w:numPr>
          <w:ilvl w:val="0"/>
          <w:numId w:val="1"/>
        </w:numPr>
        <w:spacing w:after="40" w:before="40"/>
        <w:ind w:left="360" w:hanging="180"/>
      </w:pPr>
      <w:r>
        <w:rPr>
          <w:rFonts w:ascii="Calibri" w:cs="Calibri" w:eastAsia="Calibri" w:hAnsi="Calibri"/>
          <w:color w:val="1E293B"/>
          <w:sz w:val="21"/>
          <w:szCs w:val="21"/>
        </w:rPr>
        <w:t xml:space="preserve">BND — Binder (Binding &amp; Policy)</w:t>
      </w:r>
    </w:p>
    <w:p>
      <w:pPr>
        <w:pStyle w:val="ListParagraph"/>
        <w:numPr>
          <w:ilvl w:val="0"/>
          <w:numId w:val="1"/>
        </w:numPr>
        <w:spacing w:after="40" w:before="40"/>
        <w:ind w:left="360" w:hanging="180"/>
      </w:pPr>
      <w:r>
        <w:rPr>
          <w:rFonts w:ascii="Calibri" w:cs="Calibri" w:eastAsia="Calibri" w:hAnsi="Calibri"/>
          <w:color w:val="1E293B"/>
          <w:sz w:val="21"/>
          <w:szCs w:val="21"/>
        </w:rPr>
        <w:t xml:space="preserve">POL — Policy Document (Binding &amp; Policy)</w:t>
      </w:r>
    </w:p>
    <w:p>
      <w:pPr>
        <w:pStyle w:val="ListParagraph"/>
        <w:numPr>
          <w:ilvl w:val="0"/>
          <w:numId w:val="1"/>
        </w:numPr>
        <w:spacing w:after="40" w:before="40"/>
        <w:ind w:left="360" w:hanging="180"/>
      </w:pPr>
      <w:r>
        <w:rPr>
          <w:rFonts w:ascii="Calibri" w:cs="Calibri" w:eastAsia="Calibri" w:hAnsi="Calibri"/>
          <w:color w:val="1E293B"/>
          <w:sz w:val="21"/>
          <w:szCs w:val="21"/>
        </w:rPr>
        <w:t xml:space="preserve">END — Endorsement (Binding &amp; Policy)</w:t>
      </w:r>
    </w:p>
    <w:p>
      <w:pPr>
        <w:pStyle w:val="ListParagraph"/>
        <w:numPr>
          <w:ilvl w:val="0"/>
          <w:numId w:val="1"/>
        </w:numPr>
        <w:spacing w:after="40" w:before="40"/>
        <w:ind w:left="360" w:hanging="180"/>
      </w:pPr>
      <w:r>
        <w:rPr>
          <w:rFonts w:ascii="Calibri" w:cs="Calibri" w:eastAsia="Calibri" w:hAnsi="Calibri"/>
          <w:color w:val="1E293B"/>
          <w:sz w:val="21"/>
          <w:szCs w:val="21"/>
        </w:rPr>
        <w:t xml:space="preserve">COI — Certificate of Insurance (Servicing)</w:t>
      </w:r>
    </w:p>
    <w:p>
      <w:pPr>
        <w:pStyle w:val="ListParagraph"/>
        <w:numPr>
          <w:ilvl w:val="0"/>
          <w:numId w:val="1"/>
        </w:numPr>
        <w:spacing w:after="40" w:before="40"/>
        <w:ind w:left="360" w:hanging="180"/>
      </w:pPr>
      <w:r>
        <w:rPr>
          <w:rFonts w:ascii="Calibri" w:cs="Calibri" w:eastAsia="Calibri" w:hAnsi="Calibri"/>
          <w:color w:val="1E293B"/>
          <w:sz w:val="21"/>
          <w:szCs w:val="21"/>
        </w:rPr>
        <w:t xml:space="preserve">FNOL — First Notice of Loss (Claims)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SLA — Settlement Agreement (Claims)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CAN — Cancellation Notice (Compliance &amp; Admin)</w:t>
      </w:r>
    </w:p>
    <w:p>
      <w:pPr>
        <w:pStyle w:val="Heading2"/>
        <w:spacing w:after="80" w:before="280"/>
      </w:pPr>
      <w:r>
        <w:rPr>
          <w:rFonts w:ascii="Calibri" w:cs="Calibri" w:eastAsia="Calibri" w:hAnsi="Calibri"/>
          <w:b/>
          <w:bCs/>
          <w:color w:val="1E3A5F"/>
          <w:sz w:val="26"/>
          <w:szCs w:val="26"/>
        </w:rPr>
        <w:t xml:space="preserve">Key Demo Talking Points</w:t>
      </w:r>
    </w:p>
    <w:p>
      <w:pPr>
        <w:pStyle w:val="ListParagraph"/>
        <w:numPr>
          <w:ilvl w:val="0"/>
          <w:numId w:val="1"/>
        </w:numPr>
        <w:spacing w:after="40" w:before="40"/>
        <w:ind w:left="360" w:hanging="180"/>
      </w:pPr>
      <w:r>
        <w:rPr>
          <w:rFonts w:ascii="Calibri" w:cs="Calibri" w:eastAsia="Calibri" w:hAnsi="Calibri"/>
          <w:color w:val="1E293B"/>
          <w:sz w:val="21"/>
          <w:szCs w:val="21"/>
        </w:rPr>
        <w:t xml:space="preserve">AI classification is fast — ~2–5 seconds per document</w:t>
      </w:r>
    </w:p>
    <w:p>
      <w:pPr>
        <w:pStyle w:val="ListParagraph"/>
        <w:numPr>
          <w:ilvl w:val="0"/>
          <w:numId w:val="1"/>
        </w:numPr>
        <w:spacing w:after="40" w:before="40"/>
        <w:ind w:left="360" w:hanging="180"/>
      </w:pPr>
      <w:r>
        <w:rPr>
          <w:rFonts w:ascii="Calibri" w:cs="Calibri" w:eastAsia="Calibri" w:hAnsi="Calibri"/>
          <w:color w:val="1E293B"/>
          <w:sz w:val="21"/>
          <w:szCs w:val="21"/>
        </w:rPr>
        <w:t xml:space="preserve">Human review is mandatory — no document bypasses HiL</w:t>
      </w:r>
    </w:p>
    <w:p>
      <w:pPr>
        <w:pStyle w:val="ListParagraph"/>
        <w:numPr>
          <w:ilvl w:val="0"/>
          <w:numId w:val="1"/>
        </w:numPr>
        <w:spacing w:after="40" w:before="40"/>
        <w:ind w:left="360" w:hanging="180"/>
      </w:pPr>
      <w:r>
        <w:rPr>
          <w:rFonts w:ascii="Calibri" w:cs="Calibri" w:eastAsia="Calibri" w:hAnsi="Calibri"/>
          <w:color w:val="1E293B"/>
          <w:sz w:val="21"/>
          <w:szCs w:val="21"/>
        </w:rPr>
        <w:t xml:space="preserve">Every change requires a reason — governance by design</w:t>
      </w:r>
    </w:p>
    <w:p>
      <w:pPr>
        <w:pStyle w:val="ListParagraph"/>
        <w:numPr>
          <w:ilvl w:val="0"/>
          <w:numId w:val="1"/>
        </w:numPr>
        <w:spacing w:after="40" w:before="40"/>
        <w:ind w:left="360" w:hanging="180"/>
      </w:pPr>
      <w:r>
        <w:rPr>
          <w:rFonts w:ascii="Calibri" w:cs="Calibri" w:eastAsia="Calibri" w:hAnsi="Calibri"/>
          <w:color w:val="1E293B"/>
          <w:sz w:val="21"/>
          <w:szCs w:val="21"/>
        </w:rPr>
        <w:t xml:space="preserve">Version history is immutable and permanent</w:t>
      </w:r>
    </w:p>
    <w:p>
      <w:pPr>
        <w:pStyle w:val="ListParagraph"/>
        <w:numPr>
          <w:ilvl w:val="0"/>
          <w:numId w:val="1"/>
        </w:numPr>
        <w:spacing w:after="40" w:before="40"/>
        <w:ind w:left="360" w:hanging="180"/>
      </w:pPr>
      <w:r>
        <w:rPr>
          <w:rFonts w:ascii="Calibri" w:cs="Calibri" w:eastAsia="Calibri" w:hAnsi="Calibri"/>
          <w:color w:val="1E293B"/>
          <w:sz w:val="21"/>
          <w:szCs w:val="21"/>
        </w:rPr>
        <w:t xml:space="preserve">Audit trail is complete and role-attributed</w:t>
      </w:r>
    </w:p>
    <w:p>
      <w:pPr>
        <w:pStyle w:val="ListParagraph"/>
        <w:numPr>
          <w:ilvl w:val="0"/>
          <w:numId w:val="1"/>
        </w:numPr>
        <w:spacing w:after="40" w:before="40"/>
        <w:ind w:left="360" w:hanging="180"/>
      </w:pPr>
      <w:r>
        <w:rPr>
          <w:rFonts w:ascii="Calibri" w:cs="Calibri" w:eastAsia="Calibri" w:hAnsi="Calibri"/>
          <w:color w:val="1E293B"/>
          <w:sz w:val="21"/>
          <w:szCs w:val="21"/>
        </w:rPr>
        <w:t xml:space="preserve">KMS portal is organized for retrieval, not filing</w:t>
      </w:r>
    </w:p>
    <w:p>
      <w:pPr>
        <w:pBdr>
          <w:bottom w:val="single" w:color="E2E8F0" w:sz="6"/>
        </w:pBdr>
        <w:spacing w:after="160" w:before="160"/>
      </w:pPr>
      <w:r>
        <w:t xml:space="preserve"/>
      </w:r>
    </w:p>
    <w:p>
      <w:pPr>
        <w:spacing w:after="0" w:before="120"/>
        <w:jc w:val="center"/>
      </w:pPr>
      <w:r>
        <w:rPr>
          <w:rFonts w:ascii="Calibri" w:cs="Calibri" w:eastAsia="Calibri" w:hAnsi="Calibri"/>
          <w:i/>
          <w:iCs/>
          <w:color w:val="94A3B8"/>
          <w:sz w:val="18"/>
          <w:szCs w:val="18"/>
        </w:rPr>
        <w:t xml:space="preserve">Pinnacle Insurance Group KMS Demo Script  ·  Prepared by OKS Consulting Group  ·  March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Pinnacle Insurance Group KMS — Demo Narration Script</dc:title>
  <dc:creator>Robert McCoy — OKS Consulting Group</dc:creator>
  <dc:description>Step-by-step narration guide for the Insurance Pipeline &amp; KMS Portal demo</dc:description>
  <cp:lastModifiedBy>Un-named</cp:lastModifiedBy>
  <cp:revision>1</cp:revision>
  <dcterms:created xsi:type="dcterms:W3CDTF">2026-03-22T11:10:05.744Z</dcterms:created>
  <dcterms:modified xsi:type="dcterms:W3CDTF">2026-03-22T11:10:05.744Z</dcterms:modified>
</cp:coreProperties>
</file>

<file path=docProps/custom.xml><?xml version="1.0" encoding="utf-8"?>
<Properties xmlns="http://schemas.openxmlformats.org/officeDocument/2006/custom-properties" xmlns:vt="http://schemas.openxmlformats.org/officeDocument/2006/docPropsVTypes"/>
</file>