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48"/>
          <w:szCs w:val="48"/>
        </w:rPr>
        <w:t xml:space="preserve">INSURANCE BROKERAGE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48"/>
          <w:szCs w:val="48"/>
        </w:rPr>
        <w:t xml:space="preserve">KNOWLEDGE MANAGEMENT SYSTEM</w:t>
      </w:r>
    </w:p>
    <w:p>
      <w:pPr>
        <w:pBdr>
          <w:bottom w:val="single" w:color="2A9D8F" w:sz="6" w:space="8"/>
        </w:pBdr>
        <w:spacing w:before="120"/>
        <w:jc w:val="center"/>
      </w:pPr>
      <w:r>
        <w:rPr>
          <w:rFonts w:ascii="Calibri" w:cs="Calibri" w:eastAsia="Calibri" w:hAnsi="Calibri"/>
          <w:color w:val="2A9D8F"/>
          <w:sz w:val="26"/>
          <w:szCs w:val="26"/>
        </w:rPr>
        <w:t xml:space="preserve">Product Specification &amp; Classification Schema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Prepared by: Robert McCoy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Organizational Knowledge Systems LLC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March 2026 | Version 1.0</w:t>
      </w:r>
    </w:p>
    <w:p>
      <w:r>
        <w:br w:type="page"/>
      </w:r>
    </w:p>
    <w:p>
      <w:pPr>
        <w:pStyle w:val="Heading1"/>
        <w:pBdr>
          <w:bottom w:val="single" w:color="2A9D8F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specification defines the document taxonomy, classification rules, filing hierarchy, and search schema for an AI-powered Knowledge Management System purpose-built for property &amp; casualty insurance brokerages. The system ingests scanned and digital documents, classifies them by type using AI with human-in-the-loop review, and organizes them into a searchable, governed document library.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target user is a small to mid-size insurance brokerage (5 to 50 staff) currently paying for third-party scanning services and relying on manual filing by administrative staff. The system eliminates the manual sorting step entirely, reducing document processing time by an estimated 70 to 90 percent.</w:t>
      </w:r>
    </w:p>
    <w:p>
      <w:pPr>
        <w:pStyle w:val="Heading1"/>
        <w:pBdr>
          <w:bottom w:val="single" w:color="2A9D8F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 Industry Context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Property &amp; casualty insurance brokerages handle thousands of documents annually across the policy lifecycle. Every document belongs to a client, under a specific policy line, within a specific policy period. The universal organizing principle is:</w:t>
      </w:r>
    </w:p>
    <w:p>
      <w:pPr>
        <w:spacing w:before="120" w:after="120"/>
        <w:jc w:val="center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CLIENT  &gt;  POLICY LINE  &gt;  POLICY PERIOD  &gt;  DOCUMENT TYPE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Brokerages are subject to E&amp;O (Errors &amp; Omissions) audits, carrier audits, and state regulatory reviews. The ability to locate any document for any client within seconds is not a convenience feature; it is a compliance requirement.</w:t>
      </w:r>
    </w:p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2.1 Common Policy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Policy 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General Liability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Bodily injury, property damage, personal injury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Commercial Property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Buildings, contents, business income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Commercial Auto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Fleet vehicles, hired/non-owned auto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Workers Compensation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Employee injury/illness coverage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UMBR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Umbrella/Excess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Excess liability over underlying policies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EPLI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Employment Practices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Wrongful termination, discrimination, harassment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Directors &amp; Officers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Management liability, fiduciary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CYBER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Cyber Liability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Data breach, network security, privacy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Professional Liability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Errors &amp; omissions for professional services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Business Owners Policy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Bundled GL + property for small business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Surety Bond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Performance, payment, license bonds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Inland Marine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Equipment, tools, goods in transit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 Document Taxonomy (Classification Schema)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following 24 document types cover the full lifecycle of an insurance brokerage operation. Each type has a three-letter abbreviation for compact display, a lifecycle phase, and classification rules the AI uses to identify the document.</w:t>
      </w:r>
    </w:p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3.1 Submission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Classification Signals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ACORD forms, supplemental applications, risk questionnaires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ACORD header, application number, proposed effective date, named insured block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Loss 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Claims history from prior carriers, usually 3 to 5 years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Loss run header, valued date, incurred/paid/reserved columns, policy number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Financial Statement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Client P&amp;L, balance sheet, projections submitted to underwriter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Revenue, assets, liabilities, fiscal year, submitted to underwriter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Statement of Values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Property schedule with building values, contents, addresses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Location schedule, building value, contents value, square footage columns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Underwriting Submission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Broker cover letter or submission package to carrier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To: underwriter, submission date, requested coverage, account summary</w:t>
            </w:r>
          </w:p>
        </w:tc>
      </w:tr>
    </w:tbl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3.2 Binding &amp; Policy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Classification Signals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Binder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Temporary proof of coverage before policy issuance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Binder number, effective/expiration dates, binding authority, interim coverage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Declarations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 summary page showing named insured, limits, premium, dates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 number, named insured, limits of liability, premium, effective/expiration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Endorsement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 modification, addition, or exclusion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Endorsement number, policy number, effective date, this endorsement modifies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Coverage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Detailed policy language, conditions, exclusions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Coverage form number (e.g., CG 00 01), ISO form identifier, section headings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Quote/Proposal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Carrier or broker quote with pricing and coverage terms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Quote number, proposed premium, coverage option, terms and conditions</w:t>
            </w:r>
          </w:p>
        </w:tc>
      </w:tr>
    </w:tbl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3.3 Servicing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Classification Signals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Certificate of Insurance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Proof of coverage issued to third parties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Certificate holder, ACORD 25/28 header, additional insured, certificate number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Audit Worksheet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Premium audit data, payroll/sales figures for final premium calc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Audit period, classification code, remuneration, estimated vs. actual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Premium Finance Agreement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Installment payment plan for policy premium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Finance agreement number, down payment, installment amount, APR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Cancellation Notice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Notice of pending cancellation for nonpayment or other reason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Notice of cancellation, effective date of cancellation, reason, reinstatement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RNW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Renewal Notice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Carrier or broker renewal offer with updated terms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Renewal, expiring policy, proposed premium, renewal effective 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Invoice/Statement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Premium invoice, agency bill, or installment notice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Invoice number, amount due, due date, policy number reference</w:t>
            </w:r>
          </w:p>
        </w:tc>
      </w:tr>
    </w:tbl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3.4 Claims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Classification Signals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FNL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First Notice of Loss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Initial claim report filed with carrier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Date of loss, description of loss, claimant, claim number, FNOL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Adjuster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Field adjuster inspection, damage assessment, reserve recommendation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Adjuster name, inspection date, damage estimate, reserve amount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Reserve Letter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Carrier notification of claim reserve amount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Reserve, incurred amount, claim number, coverage determination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Settlement Agreement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Final claim settlement, release of liability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Settlement amount, release, hold harmless, claim resolved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Subrogation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Recovery action against responsible third party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Subrogation, recovery, responsible party, demand letter</w:t>
            </w:r>
          </w:p>
        </w:tc>
      </w:tr>
    </w:tbl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3.5 Compliance &amp; 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Classification Signals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SLF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Surplus Lines Filing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State filing for non-admitted carrier placements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Surplus lines, state filing, non-admitted, stamping fee, tax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Commission Statement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Carrier payment of agency commission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Commission, agency compensation, earned premium, percentage, statement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AGR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Agency Agreement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Carrier appointment, agency contract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Agency agreement, appointment, binding authority, territory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Correspondence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General letters, emails, memos related to a client or policy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Re: policy number, dear insured, regarding your 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License/Certification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Agent/agency license, CE certificates, state filings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License number, expiration, department of insurance, continuing education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 Filing Hierarchy &amp; Folder Structure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system organizes documents into a four-level hierarchy. This mirrors how brokerages think about their files and matches the query patterns staff use daily.</w:t>
      </w:r>
    </w:p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4.1 Hierarchy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0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Acme Manufacturing Inc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Named insured from dec page or application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 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GL (General Liability)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Coverage type identified from document 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 Period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2025-2026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Effective and expiration dates from policy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DEC (Declarations Page)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AI classification from taxonomy above</w:t>
            </w:r>
          </w:p>
        </w:tc>
      </w:tr>
    </w:tbl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4.2 Generated File Path</w:t>
      </w:r>
    </w:p>
    <w:p>
      <w:pPr>
        <w:spacing w:before="80" w:after="120"/>
      </w:pPr>
      <w:r>
        <w:rPr>
          <w:rFonts w:ascii="JetBrains Mono" w:cs="JetBrains Mono" w:eastAsia="JetBrains Mono" w:hAnsi="JetBrains Mono"/>
          <w:color w:val="2A9D8F"/>
          <w:sz w:val="20"/>
          <w:szCs w:val="20"/>
        </w:rPr>
        <w:t xml:space="preserve">Acme_Manufacturing/GL/2025-2026/DEC_Acme_GL_2025-2026.pdf</w:t>
      </w:r>
    </w:p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4.3 Naming Convention</w:t>
      </w:r>
    </w:p>
    <w:p>
      <w:pPr>
        <w:spacing w:before="80" w:after="120"/>
      </w:pPr>
      <w:r>
        <w:rPr>
          <w:rFonts w:ascii="JetBrains Mono" w:cs="JetBrains Mono" w:eastAsia="JetBrains Mono" w:hAnsi="JetBrains Mono"/>
          <w:color w:val="2A9D8F"/>
          <w:sz w:val="20"/>
          <w:szCs w:val="20"/>
        </w:rPr>
        <w:t xml:space="preserve">{TYPE}_{ClientShort}_{PolicyLine}_{Period}_{Seq}.{ext}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Example: DEC_AcmeMfg_GL_2025-2026_001.pdf</w:t>
      </w:r>
    </w:p>
    <w:p>
      <w:r>
        <w:br w:type="page"/>
      </w:r>
    </w:p>
    <w:p>
      <w:pPr>
        <w:pStyle w:val="Heading1"/>
        <w:pBdr>
          <w:bottom w:val="single" w:color="2A9D8F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 AI Classification Rules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classification engine uses the following priority order when identifying document types: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Priority 1: Form identifiers.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ACORD form numbers (ACORD 25, ACORD 28, ACORD 125), ISO form numbers (CG 00 01, CP 00 10), and state-specific form identifiers are the strongest signals. If a recognized form number is detected, classification confidence should be 0.95 or higher.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Priority 2: Header and title blocks.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Policy declarations pages, certificates of insurance, and endorsements have standardized header layouts. Pattern matching against these layouts provides the second-strongest signal.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Priority 3: Keyword clusters.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Combinations of industry-specific terms (e.g., 'named insured' + 'limits of liability' + 'premium' = declarations page). Single keywords are unreliable; the system requires clusters of 3 or more correlated terms.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Priority 4: Structural patterns.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Table structures (columns of dates, amounts, claim numbers), letterhead patterns, and section numbering provide supplementary classification evidence.</w:t>
      </w:r>
    </w:p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5.1 Extraction Fields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For each document, the AI should attempt to extract these fields in addition to classification: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named_insured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Client/company name from the document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Client assignment (Level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policy_number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 number if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 linking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policy_line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Type of coverage (GL, PROP, AUTO,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 line assignment (Level 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Coverage or document effective 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 period assignment (Level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expiration_date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Coverage expiration 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 period assignment (Level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carrier_name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Insurance company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Carrier filtering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premium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Premium amount if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Financial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claim_number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Claim number if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Claims linking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agent_name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Producing agent or CSR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Staff assignment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6. Search &amp; Filter Schema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KMS interface must support the following search and filter patterns, listed in order of frequency of use by brokerage staff:</w:t>
      </w:r>
    </w:p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6.1 Primary Filters (Sidebar)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Searchable dropdown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All client names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Most common: find all docs for one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Multi-select checkboxes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24 types from taxonomy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Find all COIs, all DEC pages,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 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Multi-select checkboxes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 policy lines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Find all GL documents across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 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Year ranges (2024-2025, 2025-2026)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Narrow to current or prior term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Carrier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Searchable dropdown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All carrier names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Find all documents from one carrier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Date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Date picker (from/to)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Document dates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Find everything processed this month</w:t>
            </w:r>
          </w:p>
        </w:tc>
      </w:tr>
    </w:tbl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6.2 Quick Search Queries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search bar should support natural queries that brokerage staff actually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Staff Means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Acme COI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Certificate of Insurance for Acme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Filter: client=Acme, type=COI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GL renewal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GL renewal notices for upcoming term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Filter: line=GL, type=RNW, period=2025-2026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claim 2024-GL-00142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Specific claim by number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Search: claim_number contains 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Hartford commission March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Commission statements from Hartford in March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Filter: carrier=Hartford, type=COM, date=March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cancellation notices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All pending cancellations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Filter: type=CAN, sort by date desc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 Human-in-the-Loop Review Rules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review queue ensures that no document enters the governed library without appropriate confidence. The following rules determine routing: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0.90 and above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Auto-approve, log to audit trail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 confidence; ACORD form match or strong structural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0.70 to 0.89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Route to review queue with AI suggestion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Moderate confidence; staff confirms or corrects in one click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Below 0.70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Route to review queue, flag for manual classification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Low confidence; may be unusual document type or poor scan quality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 (extraction failure)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Route to review queue with OCR alert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 extraction failed; likely image-only PDF needing OCR</w:t>
            </w:r>
          </w:p>
        </w:tc>
      </w:tr>
    </w:tbl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7.1 Review Queue Display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Each item in the review queue should show: a thumbnail preview of the first page, the AI-proposed classification with confidence score, the AI-proposed client name and policy line, the extracted text snippet that drove the classification, and one-click approve/reject/reclassify controls. The goal is that a trained staff member can process a review queue item in under 10 seconds.</w:t>
      </w:r>
    </w:p>
    <w:p>
      <w:r>
        <w:br w:type="page"/>
      </w:r>
    </w:p>
    <w:p>
      <w:pPr>
        <w:pStyle w:val="Heading1"/>
        <w:pBdr>
          <w:bottom w:val="single" w:color="2A9D8F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8. Demo Universe: Pinnacle Insurance Group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For the product demo, create a fictional brokerage called Pinnacle Insurance Group with the following sample data. This mirrors a real brokerage's document mix.</w:t>
      </w:r>
    </w:p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8.1 Sample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30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Policy Lines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Acme Manufacturing 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GL, PROP, AUTO, WC, UMBR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Riverside Medical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Healthcare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GL, PL, CYBER, EPLI, WC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Summit Construction LLC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GL, AUTO, WC, UMBR, BOND, IM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Lakewood Properties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PROP, GL, UMBR, 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TechForward Solutions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GL, PL, CYBER, DO, EPLI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Bella Vista Restaurant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Hospitality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GL, PROP, AUTO, WC, BOP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~35</w:t>
            </w:r>
          </w:p>
        </w:tc>
      </w:tr>
    </w:tbl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8.2 Demo Document Mix (Target: 75 to 100 sample documents)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DEC (Declarations)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per client, different policy 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COI (Certificates)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Multiple certificate holders per client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END (Endorsements)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Additional insured, waiver of subrogation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 (Applications)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One per client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LRN (Loss Runs)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One per client, 3-year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FNL (First Notice of Loss)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Active claims for 2 clients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RNW (Renewal Notices)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Upcoming renewals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INV (Invoices)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Premium invoices and installment notices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 (Correspondence)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Mixed broker/carrier/client letters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 (Commission Statements)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From 3 different carriers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AUD (Audit Worksheets)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WC and GL audits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Other 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8-12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BND, QTE, CAN, SLF, AGR as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9. Technical Implementation Notes for Replit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section provides the specific schema and configuration needed to implement the insurance vertical on the existing BFMP/KMS codebase.</w:t>
      </w:r>
    </w:p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9.1 Domain Configuration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Single domain: INSURANCE. Unlike the RMKMS (which uses RESEARCH, BOOKS, PERSONAL, BUSINESS), the insurance product uses a single domain with the client-policy-period hierarchy providing the organizational structure.</w:t>
      </w:r>
    </w:p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9.2 Classification Enum</w:t>
      </w:r>
    </w:p>
    <w:p>
      <w:pPr>
        <w:spacing w:before="80" w:after="120"/>
      </w:pPr>
      <w:r>
        <w:rPr>
          <w:rFonts w:ascii="JetBrains Mono" w:cs="JetBrains Mono" w:eastAsia="JetBrains Mono" w:hAnsi="JetBrains Mono"/>
          <w:color w:val="2A9D8F"/>
          <w:sz w:val="18"/>
          <w:szCs w:val="18"/>
        </w:rPr>
        <w:t xml:space="preserve">APP | LRN | FIN | SOV | UWS | BND | DEC | END | FRM | QTE | COI | AUD | PFA | CAN | RNW | INV | FNL | ADJ | RSV | STL | SUB | SLF | COM | AGR | COR | LIC | UNKNOWN</w:t>
      </w:r>
    </w:p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9.3 Database Schema Additions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Add these columns to the documents table (or create an insurance_metadata table with a foreign key):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named_insured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Extracted client/company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Extracted policy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policy_line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GL, PROP, AUTO, WC,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 or document effective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expiration_date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 expiration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carrier_name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Insurance company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premium_amount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Premium if present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claim_number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Claim number if present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agent_name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Producing agent or CSR</w:t>
            </w:r>
          </w:p>
        </w:tc>
      </w:tr>
    </w:tbl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9.4 KMS Interface Modifications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card grid layout from the current RMKMS should be adapted with these changes: replace the domain pill (RESEARCH, BOOKS, etc.) with a policy line pill (GL, PROP, AUTO, etc.) color-coded by line. Add a client name header above the document title. Replace the 'Open Document' button with 'View PDF' that opens an inline preview. Add a 'Download Original' secondary action. The sidebar filters should be: Client (searchable), Document Type (checkboxes), Policy Line (checkboxes), Policy Period (dropdown), Carrier (searchable), and Confidence (slider for minimum threshold).</w:t>
      </w:r>
    </w:p>
    <w:p>
      <w:pPr>
        <w:pStyle w:val="Heading2"/>
        <w:pBdr>
          <w:bottom w:val="single" w:color="2A9D8F" w:sz="4" w:space="4"/>
        </w:pBd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9.5 PDF Handling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Insurance documents are overwhelmingly PDFs, often scanned. The system must handle three input types: searchable PDFs (embedded text layer from the scanning service), image-only PDFs (flat scans requiring OCR), and digital-native PDFs (generated by carrier systems with clean text). For OCR, integrate Tesseract via the existing extraction pipeline or use a cloud OCR API (Google Document AI or AWS Textract) for higher accuracy on poor-quality scans. ACORD forms in particular benefit from template-based extraction since their field positions are standardized.</w:t>
      </w:r>
    </w:p>
    <w:p>
      <w:r>
        <w:br w:type="page"/>
      </w:r>
    </w:p>
    <w:p>
      <w:pPr>
        <w:pStyle w:val="Heading1"/>
        <w:pBdr>
          <w:bottom w:val="single" w:color="2A9D8F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10. Business Case: Time &amp; Cost Savings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following estimates are based on typical small brokerage operations handling 200 to 500 new documents per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Manual Process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 OKS System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Time per document (sorting)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to 4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 to 15 seconds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85 to 95%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Monthly staff hours (300 docs)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 to 20 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to 2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 to 18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Misfiling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 to 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Under 2% (with HIL)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60 to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Document retrieval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to 5 minutes (folder search)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Under 10 seconds (search)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90%+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E&amp;O audit prep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 to 8 hours per 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Under 30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90%+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At an average administrative staff cost of $25/hour, the monthly labor savings of 8 to 18 hours represents $200 to $450 per month. A one-time desktop license of $1,500 pays for itself in 3 to 7 months. For brokerages paying $500+ per month for scanning-only services that still require manual sorting, the OKS system replaces the sorting step entirely.</w:t>
      </w:r>
    </w:p>
    <w:p>
      <w:pPr>
        <w:pStyle w:val="Heading1"/>
        <w:pBdr>
          <w:bottom w:val="single" w:color="2A9D8F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11. Next Steps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1. Generate 75 to 100 sample insurance documents for the Pinnacle Insurance Group demo universe using AI-generated PDF templates that resemble real ACORD forms, carrier dec pages, and certificates.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2. Configure the BFMP classification engine with the 24-type insurance taxonomy and the extraction fields defined in Section 5.1.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3. Build the insurance-specific KMS interface with client-policy-period hierarchy and the sidebar filters defined in Section 6.1.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4. Run the demo batch through the hopper and validate classification accuracy against the known document types.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 Record a walkthrough demo showing the intake, classification, review, and search workflow.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6. Contact the insurance brokerage pilot customer and request a real document batch for live validation.</w:t>
      </w:r>
    </w:p>
    <w:p>
      <w:pPr>
        <w:pBdr>
          <w:top w:val="single" w:color="2A9D8F" w:sz="4" w:space="8"/>
        </w:pBdr>
        <w:spacing w:before="4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Organizational Knowledge Systems LLC | </w:t>
      </w:r>
      <w:r>
        <w:rPr>
          <w:rFonts w:ascii="Calibri" w:cs="Calibri" w:eastAsia="Calibri" w:hAnsi="Calibri"/>
          <w:color w:val="2A9D8F"/>
          <w:sz w:val="18"/>
          <w:szCs w:val="18"/>
        </w:rPr>
        <w:t xml:space="preserve">thegovernanceframework.com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2026-03-21T08:09:33.544Z</dcterms:created>
  <dcterms:modified xsi:type="dcterms:W3CDTF">2026-03-21T08:09:33.544Z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