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rPr>
          <w:color w:val="666666"/>
          <w:sz w:val="20"/>
          <w:szCs w:val="20"/>
        </w:rPr>
      </w:pPr>
      <w:r>
        <w:rPr>
          <w:rFonts w:ascii="Arial" w:cs="Arial" w:eastAsia="Arial" w:hAnsi="Arial"/>
          <w:color w:val="666666"/>
          <w:sz w:val="20"/>
          <w:szCs w:val="20"/>
        </w:rPr>
        <w:t xml:space="preserve">CMGF Series 2026</w:t>
      </w:r>
    </w:p>
    <w:p>
      <w:pPr>
        <w:spacing w:after="40"/>
        <w:rPr>
          <w:b/>
          <w:bCs/>
          <w:color w:val="1F3864"/>
          <w:sz w:val="36"/>
          <w:szCs w:val="36"/>
        </w:rPr>
      </w:pPr>
      <w:r>
        <w:rPr>
          <w:rFonts w:ascii="Arial" w:cs="Arial" w:eastAsia="Arial" w:hAnsi="Arial"/>
          <w:b/>
          <w:bCs/>
          <w:color w:val="1F3864"/>
          <w:sz w:val="36"/>
          <w:szCs w:val="36"/>
        </w:rPr>
        <w:t xml:space="preserve">CMGF-04 Sandbox Architecture &amp; ISR Signal Boundary</w:t>
      </w:r>
    </w:p>
    <w:p>
      <w:pPr>
        <w:spacing w:after="40"/>
        <w:rPr>
          <w:color w:val="1F3864"/>
          <w:sz w:val="28"/>
          <w:szCs w:val="28"/>
        </w:rPr>
      </w:pPr>
      <w:r>
        <w:rPr>
          <w:rFonts w:ascii="Arial" w:cs="Arial" w:eastAsia="Arial" w:hAnsi="Arial"/>
          <w:color w:val="1F3864"/>
          <w:sz w:val="28"/>
          <w:szCs w:val="28"/>
        </w:rPr>
        <w:t xml:space="preserve">Career Mobility Governance Framework</w:t>
      </w:r>
    </w:p>
    <w:p>
      <w:pPr>
        <w:spacing w:after="120"/>
        <w:rPr>
          <w:i/>
          <w:iCs/>
          <w:color w:val="444444"/>
          <w:sz w:val="24"/>
          <w:szCs w:val="24"/>
        </w:rPr>
      </w:pPr>
      <w:r>
        <w:rPr>
          <w:rFonts w:ascii="Arial" w:cs="Arial" w:eastAsia="Arial" w:hAnsi="Arial"/>
          <w:i/>
          <w:iCs/>
          <w:color w:val="444444"/>
          <w:sz w:val="24"/>
          <w:szCs w:val="24"/>
        </w:rPr>
        <w:t xml:space="preserve">Exploration Mode, Transaction Mode, and Institutional Signal Capture</w:t>
      </w:r>
    </w:p>
    <w:p>
      <w:pPr>
        <w:pBdr>
          <w:bottom w:val="single" w:color="1F3864" w:sz="6" w:space="1"/>
        </w:pBdr>
        <w:spacing w:after="0"/>
      </w:pPr>
    </w:p>
    <w:p>
      <w:pPr>
        <w:spacing w:after="40"/>
        <w:rPr>
          <w:sz w:val="22"/>
          <w:szCs w:val="22"/>
        </w:rPr>
      </w:pPr>
      <w:r>
        <w:rPr>
          <w:rFonts w:ascii="Arial" w:cs="Arial" w:eastAsia="Arial" w:hAnsi="Arial"/>
          <w:sz w:val="22"/>
          <w:szCs w:val="22"/>
        </w:rPr>
        <w:t xml:space="preserve">Author: Robert E. McCoy</w:t>
      </w:r>
    </w:p>
    <w:p>
      <w:pPr>
        <w:spacing w:after="240"/>
        <w:rPr>
          <w:sz w:val="22"/>
          <w:szCs w:val="22"/>
        </w:rPr>
      </w:pPr>
      <w:r>
        <w:rPr>
          <w:rFonts w:ascii="Arial" w:cs="Arial" w:eastAsia="Arial" w:hAnsi="Arial"/>
          <w:sz w:val="22"/>
          <w:szCs w:val="22"/>
        </w:rPr>
        <w:t xml:space="preserve">Prepared for: System Architects, ESO Leadership, Command Education Staff, ISR Stakeholders</w:t>
      </w:r>
    </w:p>
    <w:p>
      <w:pPr>
        <w:pStyle w:val="Heading1"/>
      </w:pPr>
      <w:r>
        <w:t xml:space="preserve">Executive Overview</w:t>
      </w:r>
    </w:p>
    <w:p>
      <w:pPr>
        <w:spacing w:after="160"/>
      </w:pPr>
      <w:r>
        <w:rPr>
          <w:rFonts w:ascii="Arial" w:cs="Arial" w:eastAsia="Arial" w:hAnsi="Arial"/>
          <w:sz w:val="24"/>
          <w:szCs w:val="24"/>
        </w:rPr>
        <w:t xml:space="preserve">The Career Mobility Governance Framework (CMGF) operates in two architecturally distinct modes: Exploration Mode (sandbox) and Action Mode (transactional). The boundary between these modes is controlled exclusively by the service member and enforced at the architectural level. This boundary determines what generates institutional signal, what enters the ESO priority queue, and what feeds Installation Status Report (ISR) analytics.</w:t>
      </w:r>
    </w:p>
    <w:p>
      <w:pPr>
        <w:spacing w:after="160"/>
      </w:pPr>
      <w:r>
        <w:rPr>
          <w:rFonts w:ascii="Arial" w:cs="Arial" w:eastAsia="Arial" w:hAnsi="Arial"/>
          <w:sz w:val="24"/>
          <w:szCs w:val="24"/>
        </w:rPr>
        <w:t xml:space="preserve">This brief documents the two-mode architecture, the signal boundary enforcement, and the ISR implications of CMGF’s design. It establishes that sandboxing is not a reportable event, that institutional signal is generated only by SM-initiated transactional actions, and that this boundary is essential to preserving the trust model that enables 24/7 service member access.</w:t>
      </w:r>
    </w:p>
    <w:p>
      <w:pPr>
        <w:pStyle w:val="Heading2"/>
      </w:pPr>
      <w:r>
        <w:t xml:space="preserve">Core Architectural Principle</w:t>
      </w:r>
    </w:p>
    <w:p>
      <w:pPr>
        <w:spacing w:after="160"/>
      </w:pPr>
      <w:r>
        <w:rPr>
          <w:rFonts w:ascii="Arial" w:cs="Arial" w:eastAsia="Arial" w:hAnsi="Arial"/>
          <w:b/>
          <w:bCs/>
          <w:sz w:val="24"/>
          <w:szCs w:val="24"/>
        </w:rPr>
        <w:t xml:space="preserve">The service member decides when to cross from exploration to institutional engagement. </w:t>
      </w:r>
      <w:r>
        <w:rPr>
          <w:rFonts w:ascii="Arial" w:cs="Arial" w:eastAsia="Arial" w:hAnsi="Arial"/>
          <w:sz w:val="24"/>
          <w:szCs w:val="24"/>
        </w:rPr>
        <w:t xml:space="preserve">The system cannot promote a sandbox session into a reportable event without the SM’s explicit action. This is an architectural constraint, not a policy preference.</w:t>
      </w:r>
    </w:p>
    <w:p>
      <w:r>
        <w:br w:type="page"/>
      </w:r>
    </w:p>
    <w:p>
      <w:pPr>
        <w:pStyle w:val="Heading1"/>
      </w:pPr>
      <w:r>
        <w:t xml:space="preserve">Two-Mode Architecture</w:t>
      </w:r>
    </w:p>
    <w:p>
      <w:pPr>
        <w:pStyle w:val="Heading2"/>
      </w:pPr>
      <w:r>
        <w:t xml:space="preserve">Exploration Mode (Sandbox)</w:t>
      </w:r>
    </w:p>
    <w:p>
      <w:pPr>
        <w:spacing w:after="160"/>
      </w:pPr>
      <w:r>
        <w:rPr>
          <w:rFonts w:ascii="Arial" w:cs="Arial" w:eastAsia="Arial" w:hAnsi="Arial"/>
          <w:sz w:val="24"/>
          <w:szCs w:val="24"/>
        </w:rPr>
        <w:t xml:space="preserve">In Exploration Mode, the service member interacts with the full CMGF binding layer without generating institutional signal. The constraint binding engine operates identically in both modes: authoritative rules are retrieved, Tier A through D constraints are evaluated, feasibility signals are produced, conflicts are surfaced. The SM receives the same quality of constraint analysis they would receive in a transactional session. The difference is entirely in what happens with the output.</w:t>
      </w:r>
    </w:p>
    <w:p>
      <w:pPr>
        <w:spacing w:after="160"/>
      </w:pPr>
      <w:r>
        <w:rPr>
          <w:rFonts w:ascii="Arial" w:cs="Arial" w:eastAsia="Arial" w:hAnsi="Arial"/>
          <w:sz w:val="24"/>
          <w:szCs w:val="24"/>
        </w:rPr>
        <w:t xml:space="preserve">Exploration Mode properties:</w:t>
      </w:r>
    </w:p>
    <w:p>
      <w:pPr>
        <w:pStyle w:val="ListParagraph"/>
        <w:numPr>
          <w:ilvl w:val="0"/>
          <w:numId w:val="2"/>
        </w:numPr>
        <w:spacing w:after="80"/>
      </w:pPr>
      <w:r>
        <w:rPr>
          <w:rFonts w:ascii="Arial" w:cs="Arial" w:eastAsia="Arial" w:hAnsi="Arial"/>
          <w:b/>
          <w:bCs/>
          <w:sz w:val="24"/>
          <w:szCs w:val="24"/>
        </w:rPr>
        <w:t xml:space="preserve">Private: </w:t>
      </w:r>
      <w:r>
        <w:rPr>
          <w:rFonts w:ascii="Arial" w:cs="Arial" w:eastAsia="Arial" w:hAnsi="Arial"/>
          <w:sz w:val="24"/>
          <w:szCs w:val="24"/>
        </w:rPr>
        <w:t xml:space="preserve">No transaction record is generated. No data enters the ESO priority queue. No signal feeds the ISR aggregation engine.</w:t>
      </w:r>
    </w:p>
    <w:p>
      <w:pPr>
        <w:pStyle w:val="ListParagraph"/>
        <w:numPr>
          <w:ilvl w:val="0"/>
          <w:numId w:val="2"/>
        </w:numPr>
        <w:spacing w:after="80"/>
      </w:pPr>
      <w:r>
        <w:rPr>
          <w:rFonts w:ascii="Arial" w:cs="Arial" w:eastAsia="Arial" w:hAnsi="Arial"/>
          <w:b/>
          <w:bCs/>
          <w:sz w:val="24"/>
          <w:szCs w:val="24"/>
        </w:rPr>
        <w:t xml:space="preserve">Non-Persistent: </w:t>
      </w:r>
      <w:r>
        <w:rPr>
          <w:rFonts w:ascii="Arial" w:cs="Arial" w:eastAsia="Arial" w:hAnsi="Arial"/>
          <w:sz w:val="24"/>
          <w:szCs w:val="24"/>
        </w:rPr>
        <w:t xml:space="preserve">Session isolation applies fully. No sandbox session data is retained after the session ends. No cross-session linking occurs.</w:t>
      </w:r>
    </w:p>
    <w:p>
      <w:pPr>
        <w:pStyle w:val="ListParagraph"/>
        <w:numPr>
          <w:ilvl w:val="0"/>
          <w:numId w:val="2"/>
        </w:numPr>
        <w:spacing w:after="80"/>
      </w:pPr>
      <w:r>
        <w:rPr>
          <w:rFonts w:ascii="Arial" w:cs="Arial" w:eastAsia="Arial" w:hAnsi="Arial"/>
          <w:b/>
          <w:bCs/>
          <w:sz w:val="24"/>
          <w:szCs w:val="24"/>
        </w:rPr>
        <w:t xml:space="preserve">Non-Reportable: </w:t>
      </w:r>
      <w:r>
        <w:rPr>
          <w:rFonts w:ascii="Arial" w:cs="Arial" w:eastAsia="Arial" w:hAnsi="Arial"/>
          <w:sz w:val="24"/>
          <w:szCs w:val="24"/>
        </w:rPr>
        <w:t xml:space="preserve">Sandbox interactions are architecturally excluded from ISR signal capture. The system does not record that the interaction occurred, what scenarios were explored, or what feasibility signals were produced.</w:t>
      </w:r>
    </w:p>
    <w:p>
      <w:pPr>
        <w:pStyle w:val="ListParagraph"/>
        <w:numPr>
          <w:ilvl w:val="0"/>
          <w:numId w:val="2"/>
        </w:numPr>
        <w:spacing w:after="80"/>
      </w:pPr>
      <w:r>
        <w:rPr>
          <w:rFonts w:ascii="Arial" w:cs="Arial" w:eastAsia="Arial" w:hAnsi="Arial"/>
          <w:b/>
          <w:bCs/>
          <w:sz w:val="24"/>
          <w:szCs w:val="24"/>
        </w:rPr>
        <w:t xml:space="preserve">Full Constraint Access: </w:t>
      </w:r>
      <w:r>
        <w:rPr>
          <w:rFonts w:ascii="Arial" w:cs="Arial" w:eastAsia="Arial" w:hAnsi="Arial"/>
          <w:sz w:val="24"/>
          <w:szCs w:val="24"/>
        </w:rPr>
        <w:t xml:space="preserve">The SM has access to the complete binding layer, including all encoded policy rules, credential crosswalks, labor market data, and feasibility signal logic. Sandbox mode does not degrade the quality of constraint evaluation.</w:t>
      </w:r>
    </w:p>
    <w:p>
      <w:pPr>
        <w:pStyle w:val="ListParagraph"/>
        <w:numPr>
          <w:ilvl w:val="0"/>
          <w:numId w:val="2"/>
        </w:numPr>
        <w:spacing w:after="80"/>
      </w:pPr>
      <w:r>
        <w:rPr>
          <w:rFonts w:ascii="Arial" w:cs="Arial" w:eastAsia="Arial" w:hAnsi="Arial"/>
          <w:b/>
          <w:bCs/>
          <w:sz w:val="24"/>
          <w:szCs w:val="24"/>
        </w:rPr>
        <w:t xml:space="preserve">SM-Controlled: </w:t>
      </w:r>
      <w:r>
        <w:rPr>
          <w:rFonts w:ascii="Arial" w:cs="Arial" w:eastAsia="Arial" w:hAnsi="Arial"/>
          <w:sz w:val="24"/>
          <w:szCs w:val="24"/>
        </w:rPr>
        <w:t xml:space="preserve">The service member enters Exploration Mode by default. No action is required to sandbox. The system assumes exploration unless the SM explicitly initiates a transactional action.</w:t>
      </w:r>
    </w:p>
    <w:p>
      <w:pPr>
        <w:pStyle w:val="Heading2"/>
      </w:pPr>
      <w:r>
        <w:t xml:space="preserve">Action Mode (Transactional)</w:t>
      </w:r>
    </w:p>
    <w:p>
      <w:pPr>
        <w:spacing w:after="160"/>
      </w:pPr>
      <w:r>
        <w:rPr>
          <w:rFonts w:ascii="Arial" w:cs="Arial" w:eastAsia="Arial" w:hAnsi="Arial"/>
          <w:sz w:val="24"/>
          <w:szCs w:val="24"/>
        </w:rPr>
        <w:t xml:space="preserve">Action Mode activates when the service member initiates an institutional process that requires authority beyond the SM’s own decision-making. The SM crosses from exploration to action by submitting a request that invokes institutional authority.</w:t>
      </w:r>
    </w:p>
    <w:p>
      <w:pPr>
        <w:spacing w:after="160"/>
      </w:pPr>
      <w:r>
        <w:rPr>
          <w:rFonts w:ascii="Arial" w:cs="Arial" w:eastAsia="Arial" w:hAnsi="Arial"/>
          <w:sz w:val="24"/>
          <w:szCs w:val="24"/>
        </w:rPr>
        <w:t xml:space="preserve">Transactional triggers include:</w:t>
      </w:r>
    </w:p>
    <w:p>
      <w:pPr>
        <w:pStyle w:val="ListParagraph"/>
        <w:numPr>
          <w:ilvl w:val="0"/>
          <w:numId w:val="2"/>
        </w:numPr>
        <w:spacing w:after="80"/>
      </w:pPr>
      <w:r>
        <w:rPr>
          <w:rFonts w:ascii="Arial" w:cs="Arial" w:eastAsia="Arial" w:hAnsi="Arial"/>
          <w:b/>
          <w:bCs/>
          <w:sz w:val="24"/>
          <w:szCs w:val="24"/>
        </w:rPr>
        <w:t xml:space="preserve">Tuition Assistance Request: </w:t>
      </w:r>
      <w:r>
        <w:rPr>
          <w:rFonts w:ascii="Arial" w:cs="Arial" w:eastAsia="Arial" w:hAnsi="Arial"/>
          <w:sz w:val="24"/>
          <w:szCs w:val="24"/>
        </w:rPr>
        <w:t xml:space="preserve">SM submits a TA request for ESO approval. The binding layer has already evaluated eligibility, funding cap status, and institutional constraints. The transaction record captures this context.</w:t>
      </w:r>
    </w:p>
    <w:p>
      <w:pPr>
        <w:pStyle w:val="ListParagraph"/>
        <w:numPr>
          <w:ilvl w:val="0"/>
          <w:numId w:val="2"/>
        </w:numPr>
        <w:spacing w:after="80"/>
      </w:pPr>
      <w:r>
        <w:rPr>
          <w:rFonts w:ascii="Arial" w:cs="Arial" w:eastAsia="Arial" w:hAnsi="Arial"/>
          <w:b/>
          <w:bCs/>
          <w:sz w:val="24"/>
          <w:szCs w:val="24"/>
        </w:rPr>
        <w:t xml:space="preserve">Credentialing Assistance / COOL Authorization: </w:t>
      </w:r>
      <w:r>
        <w:rPr>
          <w:rFonts w:ascii="Arial" w:cs="Arial" w:eastAsia="Arial" w:hAnsi="Arial"/>
          <w:sz w:val="24"/>
          <w:szCs w:val="24"/>
        </w:rPr>
        <w:t xml:space="preserve">SM initiates a credential authorization through the COOL system. CMGF encodes COOL eligibility rules as part of the institutional binding; the transaction record captures the constraint evaluation that preceded the request.</w:t>
      </w:r>
    </w:p>
    <w:p>
      <w:pPr>
        <w:pStyle w:val="ListParagraph"/>
        <w:numPr>
          <w:ilvl w:val="0"/>
          <w:numId w:val="2"/>
        </w:numPr>
        <w:spacing w:after="80"/>
      </w:pPr>
      <w:r>
        <w:rPr>
          <w:rFonts w:ascii="Arial" w:cs="Arial" w:eastAsia="Arial" w:hAnsi="Arial"/>
          <w:b/>
          <w:bCs/>
          <w:sz w:val="24"/>
          <w:szCs w:val="24"/>
        </w:rPr>
        <w:t xml:space="preserve">Transition Assistance Program Action: </w:t>
      </w:r>
      <w:r>
        <w:rPr>
          <w:rFonts w:ascii="Arial" w:cs="Arial" w:eastAsia="Arial" w:hAnsi="Arial"/>
          <w:sz w:val="24"/>
          <w:szCs w:val="24"/>
        </w:rPr>
        <w:t xml:space="preserve">SM engages TAP-related processes that are part of the mandatory transition pipeline. TAP touchpoints are institutional events that generate ISR-reportable signal by design.</w:t>
      </w:r>
    </w:p>
    <w:p>
      <w:pPr>
        <w:pStyle w:val="ListParagraph"/>
        <w:numPr>
          <w:ilvl w:val="0"/>
          <w:numId w:val="2"/>
        </w:numPr>
        <w:spacing w:after="80"/>
      </w:pPr>
      <w:r>
        <w:rPr>
          <w:rFonts w:ascii="Arial" w:cs="Arial" w:eastAsia="Arial" w:hAnsi="Arial"/>
          <w:b/>
          <w:bCs/>
          <w:sz w:val="24"/>
          <w:szCs w:val="24"/>
        </w:rPr>
        <w:t xml:space="preserve">Formal Advisor Review Request: </w:t>
      </w:r>
      <w:r>
        <w:rPr>
          <w:rFonts w:ascii="Arial" w:cs="Arial" w:eastAsia="Arial" w:hAnsi="Arial"/>
          <w:sz w:val="24"/>
          <w:szCs w:val="24"/>
        </w:rPr>
        <w:t xml:space="preserve">SM requests ESO review of a credential plan, conflict resolution, or career pathway evaluation. This explicitly invokes ESO authority and enters the priority queue.</w:t>
      </w:r>
    </w:p>
    <w:p>
      <w:pPr>
        <w:pStyle w:val="ListParagraph"/>
        <w:numPr>
          <w:ilvl w:val="0"/>
          <w:numId w:val="2"/>
        </w:numPr>
        <w:spacing w:after="80"/>
      </w:pPr>
      <w:r>
        <w:rPr>
          <w:rFonts w:ascii="Arial" w:cs="Arial" w:eastAsia="Arial" w:hAnsi="Arial"/>
          <w:b/>
          <w:bCs/>
          <w:sz w:val="24"/>
          <w:szCs w:val="24"/>
        </w:rPr>
        <w:t xml:space="preserve">In-Processing / Out-Processing Events: </w:t>
      </w:r>
      <w:r>
        <w:rPr>
          <w:rFonts w:ascii="Arial" w:cs="Arial" w:eastAsia="Arial" w:hAnsi="Arial"/>
          <w:sz w:val="24"/>
          <w:szCs w:val="24"/>
        </w:rPr>
        <w:t xml:space="preserve">Mandatory lifecycle touchpoints where every SM engages the ESO office. These are institutional events regardless of CMGF.</w:t>
      </w:r>
    </w:p>
    <w:p>
      <w:pPr>
        <w:spacing w:after="160"/>
      </w:pPr>
      <w:r>
        <w:rPr>
          <w:rFonts w:ascii="Arial" w:cs="Arial" w:eastAsia="Arial" w:hAnsi="Arial"/>
          <w:sz w:val="24"/>
          <w:szCs w:val="24"/>
        </w:rPr>
        <w:t xml:space="preserve">Action Mode properties:</w:t>
      </w:r>
    </w:p>
    <w:p>
      <w:pPr>
        <w:pStyle w:val="ListParagraph"/>
        <w:numPr>
          <w:ilvl w:val="0"/>
          <w:numId w:val="2"/>
        </w:numPr>
        <w:spacing w:after="80"/>
      </w:pPr>
      <w:r>
        <w:rPr>
          <w:rFonts w:ascii="Arial" w:cs="Arial" w:eastAsia="Arial" w:hAnsi="Arial"/>
          <w:b/>
          <w:bCs/>
          <w:sz w:val="24"/>
          <w:szCs w:val="24"/>
        </w:rPr>
        <w:t xml:space="preserve">Transaction Record Generated: </w:t>
      </w:r>
      <w:r>
        <w:rPr>
          <w:rFonts w:ascii="Arial" w:cs="Arial" w:eastAsia="Arial" w:hAnsi="Arial"/>
          <w:sz w:val="24"/>
          <w:szCs w:val="24"/>
        </w:rPr>
        <w:t xml:space="preserve">The AI proxy function creates a complete transaction record including constraint analysis, rule citations, SM-declared inputs, operational status, and urgency assessment.</w:t>
      </w:r>
    </w:p>
    <w:p>
      <w:pPr>
        <w:pStyle w:val="ListParagraph"/>
        <w:numPr>
          <w:ilvl w:val="0"/>
          <w:numId w:val="2"/>
        </w:numPr>
        <w:spacing w:after="80"/>
      </w:pPr>
      <w:r>
        <w:rPr>
          <w:rFonts w:ascii="Arial" w:cs="Arial" w:eastAsia="Arial" w:hAnsi="Arial"/>
          <w:b/>
          <w:bCs/>
          <w:sz w:val="24"/>
          <w:szCs w:val="24"/>
        </w:rPr>
        <w:t xml:space="preserve">ESO Queue Entry: </w:t>
      </w:r>
      <w:r>
        <w:rPr>
          <w:rFonts w:ascii="Arial" w:cs="Arial" w:eastAsia="Arial" w:hAnsi="Arial"/>
          <w:sz w:val="24"/>
          <w:szCs w:val="24"/>
        </w:rPr>
        <w:t xml:space="preserve">The transaction enters the rack and stack priority queue, ranked by operational status signal (DEPLOYED/TDY/CONUS), constraint urgency, and benefit deadline proximity.</w:t>
      </w:r>
    </w:p>
    <w:p>
      <w:pPr>
        <w:pStyle w:val="ListParagraph"/>
        <w:numPr>
          <w:ilvl w:val="0"/>
          <w:numId w:val="2"/>
        </w:numPr>
        <w:spacing w:after="80"/>
      </w:pPr>
      <w:r>
        <w:rPr>
          <w:rFonts w:ascii="Arial" w:cs="Arial" w:eastAsia="Arial" w:hAnsi="Arial"/>
          <w:b/>
          <w:bCs/>
          <w:sz w:val="24"/>
          <w:szCs w:val="24"/>
        </w:rPr>
        <w:t xml:space="preserve">ISR Signal Captured: </w:t>
      </w:r>
      <w:r>
        <w:rPr>
          <w:rFonts w:ascii="Arial" w:cs="Arial" w:eastAsia="Arial" w:hAnsi="Arial"/>
          <w:sz w:val="24"/>
          <w:szCs w:val="24"/>
        </w:rPr>
        <w:t xml:space="preserve">The transaction feeds the de-identification and aggregation pipeline, contributing to population-level institutional analytics.</w:t>
      </w:r>
    </w:p>
    <w:p>
      <w:pPr>
        <w:pStyle w:val="ListParagraph"/>
        <w:numPr>
          <w:ilvl w:val="0"/>
          <w:numId w:val="2"/>
        </w:numPr>
        <w:spacing w:after="80"/>
      </w:pPr>
      <w:r>
        <w:rPr>
          <w:rFonts w:ascii="Arial" w:cs="Arial" w:eastAsia="Arial" w:hAnsi="Arial"/>
          <w:b/>
          <w:bCs/>
          <w:sz w:val="24"/>
          <w:szCs w:val="24"/>
        </w:rPr>
        <w:t xml:space="preserve">Audit Trail Created: </w:t>
      </w:r>
      <w:r>
        <w:rPr>
          <w:rFonts w:ascii="Arial" w:cs="Arial" w:eastAsia="Arial" w:hAnsi="Arial"/>
          <w:sz w:val="24"/>
          <w:szCs w:val="24"/>
        </w:rPr>
        <w:t xml:space="preserve">Full audit logging with rule citations, authority tags, and decision traceability. ESO decisions are recorded with documented rationale.</w:t>
      </w:r>
    </w:p>
    <w:p>
      <w:r>
        <w:br w:type="page"/>
      </w:r>
    </w:p>
    <w:p>
      <w:pPr>
        <w:pStyle w:val="Heading1"/>
      </w:pPr>
      <w:r>
        <w:t xml:space="preserve">Signal Boundary Enforcement</w:t>
      </w:r>
    </w:p>
    <w:p>
      <w:pPr>
        <w:spacing w:after="160"/>
      </w:pPr>
      <w:r>
        <w:rPr>
          <w:rFonts w:ascii="Arial" w:cs="Arial" w:eastAsia="Arial" w:hAnsi="Arial"/>
          <w:sz w:val="24"/>
          <w:szCs w:val="24"/>
        </w:rPr>
        <w:t xml:space="preserve">The boundary between Exploration Mode and Action Mode is enforced at the architectural level within the CMGF twelve-layer model. This enforcement operates at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Enforcement Mechanism</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Effect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Layer 5: Learner Record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Session isolation. In Exploration Mode, no session data is written to any persistent store. The learner record exists only in volatile session 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No sandbox data survives the session. No cross-session linking is possible from exploration activity.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Layer 11: Audit and Logging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Mode-aware logging. The audit layer records transactional events only. Exploration Mode sessions are not logged, timestamped, or attributed.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ISR aggregation engine receives signal only from Action Mode transactions. Sandbox activity is invisible to institutional analytics.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Layer 12: Governance Control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Architectural prohibition on mode promotion. The Governance Control Layer enforces that no system process, administrator action, or external request can reclassify an Exploration Mode session as transactional.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Even governance administrators cannot retroactively make sandbox sessions reportable. The boundary is immutable.</w:t>
            </w:r>
          </w:p>
        </w:tc>
      </w:tr>
    </w:tbl>
    <w:p>
      <w:pPr>
        <w:spacing w:after="160"/>
      </w:pPr>
      <w:r>
        <w:rPr>
          <w:rFonts w:ascii="Arial" w:cs="Arial" w:eastAsia="Arial" w:hAnsi="Arial"/>
          <w:sz w:val="24"/>
          <w:szCs w:val="24"/>
        </w:rPr>
        <w:t xml:space="preserve"/>
      </w:r>
    </w:p>
    <w:p>
      <w:pPr>
        <w:spacing w:after="160"/>
      </w:pPr>
      <w:r>
        <w:rPr>
          <w:rFonts w:ascii="Arial" w:cs="Arial" w:eastAsia="Arial" w:hAnsi="Arial"/>
          <w:sz w:val="24"/>
          <w:szCs w:val="24"/>
        </w:rPr>
        <w:t xml:space="preserve">The boundary is crossed only by explicit SM action: submitting a TA request, initiating a COOL authorization, requesting advisor review, or engaging a mandatory lifecycle touchpoint. The system provides clear interface-level signaling when the SM is about to cross from Exploration to Action Mode, ensuring informed consent.</w:t>
      </w:r>
    </w:p>
    <w:p>
      <w:pPr>
        <w:pStyle w:val="Heading1"/>
      </w:pPr>
      <w:r>
        <w:t xml:space="preserve">Trust Model Implications</w:t>
      </w:r>
    </w:p>
    <w:p>
      <w:pPr>
        <w:spacing w:after="160"/>
      </w:pPr>
      <w:r>
        <w:rPr>
          <w:rFonts w:ascii="Arial" w:cs="Arial" w:eastAsia="Arial" w:hAnsi="Arial"/>
          <w:sz w:val="24"/>
          <w:szCs w:val="24"/>
        </w:rPr>
        <w:t xml:space="preserve">The sandbox boundary is not merely a privacy feature. It is the architectural foundation of CMGF’s trust model. The 24/7 access value proposition depends entirely on service members believing that private exploration will remain private.</w:t>
      </w:r>
    </w:p>
    <w:p>
      <w:pPr>
        <w:spacing w:after="160"/>
      </w:pPr>
      <w:r>
        <w:rPr>
          <w:rFonts w:ascii="Arial" w:cs="Arial" w:eastAsia="Arial" w:hAnsi="Arial"/>
          <w:sz w:val="24"/>
          <w:szCs w:val="24"/>
        </w:rPr>
        <w:t xml:space="preserve">If sandbox sessions generated institutional signal, the trust model would collapse in predictable ways:</w:t>
      </w:r>
    </w:p>
    <w:p>
      <w:pPr>
        <w:pStyle w:val="ListParagraph"/>
        <w:numPr>
          <w:ilvl w:val="0"/>
          <w:numId w:val="2"/>
        </w:numPr>
        <w:spacing w:after="80"/>
      </w:pPr>
      <w:r>
        <w:rPr>
          <w:rFonts w:ascii="Arial" w:cs="Arial" w:eastAsia="Arial" w:hAnsi="Arial"/>
          <w:b/>
          <w:bCs/>
          <w:sz w:val="24"/>
          <w:szCs w:val="24"/>
        </w:rPr>
        <w:t xml:space="preserve">Retention Signal Contamination: </w:t>
      </w:r>
      <w:r>
        <w:rPr>
          <w:rFonts w:ascii="Arial" w:cs="Arial" w:eastAsia="Arial" w:hAnsi="Arial"/>
          <w:sz w:val="24"/>
          <w:szCs w:val="24"/>
        </w:rPr>
        <w:t xml:space="preserve">An SM privately exploring civilian career pathways could be interpreted as a retention risk. If that exploration were visible to the command structure, SMs would avoid using the planning tool for its most valuable function: honest, consequence-free exploration of career options including separation.</w:t>
      </w:r>
    </w:p>
    <w:p>
      <w:pPr>
        <w:pStyle w:val="ListParagraph"/>
        <w:numPr>
          <w:ilvl w:val="0"/>
          <w:numId w:val="2"/>
        </w:numPr>
        <w:spacing w:after="80"/>
      </w:pPr>
      <w:r>
        <w:rPr>
          <w:rFonts w:ascii="Arial" w:cs="Arial" w:eastAsia="Arial" w:hAnsi="Arial"/>
          <w:b/>
          <w:bCs/>
          <w:sz w:val="24"/>
          <w:szCs w:val="24"/>
        </w:rPr>
        <w:t xml:space="preserve">Chilling Effect on Planning: </w:t>
      </w:r>
      <w:r>
        <w:rPr>
          <w:rFonts w:ascii="Arial" w:cs="Arial" w:eastAsia="Arial" w:hAnsi="Arial"/>
          <w:sz w:val="24"/>
          <w:szCs w:val="24"/>
        </w:rPr>
        <w:t xml:space="preserve">SMs would limit their exploration to “safe” scenarios that could not be misinterpreted, undermining the system’s ability to help them understand their full constraint landscape.</w:t>
      </w:r>
    </w:p>
    <w:p>
      <w:pPr>
        <w:pStyle w:val="ListParagraph"/>
        <w:numPr>
          <w:ilvl w:val="0"/>
          <w:numId w:val="2"/>
        </w:numPr>
        <w:spacing w:after="80"/>
      </w:pPr>
      <w:r>
        <w:rPr>
          <w:rFonts w:ascii="Arial" w:cs="Arial" w:eastAsia="Arial" w:hAnsi="Arial"/>
          <w:b/>
          <w:bCs/>
          <w:sz w:val="24"/>
          <w:szCs w:val="24"/>
        </w:rPr>
        <w:t xml:space="preserve">Reduced Transactional Quality: </w:t>
      </w:r>
      <w:r>
        <w:rPr>
          <w:rFonts w:ascii="Arial" w:cs="Arial" w:eastAsia="Arial" w:hAnsi="Arial"/>
          <w:sz w:val="24"/>
          <w:szCs w:val="24"/>
        </w:rPr>
        <w:t xml:space="preserve">SMs who avoid sandbox exploration arrive at the transactional stage less informed, generating more incomplete or infeasible requests that consume ESO time.</w:t>
      </w:r>
    </w:p>
    <w:p>
      <w:pPr>
        <w:spacing w:after="160"/>
      </w:pPr>
      <w:r>
        <w:rPr>
          <w:rFonts w:ascii="Arial" w:cs="Arial" w:eastAsia="Arial" w:hAnsi="Arial"/>
          <w:sz w:val="24"/>
          <w:szCs w:val="24"/>
        </w:rPr>
        <w:t xml:space="preserve">By architecturally guaranteeing that sandboxing is private and non-reportable, CMGF creates the conditions for the SM to engage the system fully and honestly. This engagement, paradoxically, improves the quality of the institutional transactions that do generate ISR signal: an SM who has privately explored their options submits more informed, more targeted, more feasible requests.</w:t>
      </w:r>
    </w:p>
    <w:p>
      <w:r>
        <w:br w:type="page"/>
      </w:r>
    </w:p>
    <w:p>
      <w:pPr>
        <w:pStyle w:val="Heading1"/>
      </w:pPr>
      <w:r>
        <w:t xml:space="preserve">ISR Signal Architecture</w:t>
      </w:r>
    </w:p>
    <w:p>
      <w:pPr>
        <w:pStyle w:val="Heading2"/>
      </w:pPr>
      <w:r>
        <w:t xml:space="preserve">Three Signal Streams</w:t>
      </w:r>
    </w:p>
    <w:p>
      <w:pPr>
        <w:spacing w:after="160"/>
      </w:pPr>
      <w:r>
        <w:rPr>
          <w:rFonts w:ascii="Arial" w:cs="Arial" w:eastAsia="Arial" w:hAnsi="Arial"/>
          <w:sz w:val="24"/>
          <w:szCs w:val="24"/>
        </w:rPr>
        <w:t xml:space="preserve">ISR signal is generated exclusively from Action Mode transactions. These transactions occur across three distinct lifecycle streams, each producing different institutional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Signal Stream</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Source Events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Institutional Intelligence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Intake Stream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In-processing events. Every new SM arriving at a command touches the ESO office. Under CMGF, this touchpoint captures a baseline credential assessment through the binding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Credential baseline of incoming force. MOS-to-credential gap analysis at point of entry. Variation by occupational category, component, and commissioning source. Over time: trend analysis of whether upstream military training is improving alignment with civilian credential frameworks.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Engagement Stream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Voluntary TA requests, COOL authorizations, formal advisor reviews, and other SM-initiated institutional transactions occurring during 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Education engagement patterns of the serving force. Funding cap utilization and exhaustion timing. Credential pathway demand by MOS and geography. Constraint-failure rates by pathway type. Bottleneck identification at the policy and funding level.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Transition Stream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Out-processing events, TAP touchpoints, and transition-specific advisor interactions. Every exiting SM touches the ESO office.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Credential state of the departing force. Benefit utilization rates (consumed vs. remaining). Credential-to-career mapping against BLS projections and O*NET crosswalks. Gap analysis between accumulated credentials and target civilian career requirements. Delta between SMs who engaged throughout service vs. mandatory-touchpoint-only SMs.</w:t>
            </w:r>
          </w:p>
        </w:tc>
      </w:tr>
    </w:tbl>
    <w:p>
      <w:pPr>
        <w:spacing w:after="160"/>
      </w:pPr>
      <w:r>
        <w:rPr>
          <w:rFonts w:ascii="Arial" w:cs="Arial" w:eastAsia="Arial" w:hAnsi="Arial"/>
          <w:sz w:val="24"/>
          <w:szCs w:val="24"/>
        </w:rPr>
        <w:t xml:space="preserve"/>
      </w:r>
    </w:p>
    <w:p>
      <w:pPr>
        <w:pStyle w:val="Heading2"/>
      </w:pPr>
      <w:r>
        <w:t xml:space="preserve">Scale Model</w:t>
      </w:r>
    </w:p>
    <w:p>
      <w:pPr>
        <w:spacing w:after="160"/>
      </w:pPr>
      <w:r>
        <w:rPr>
          <w:rFonts w:ascii="Arial" w:cs="Arial" w:eastAsia="Arial" w:hAnsi="Arial"/>
          <w:sz w:val="24"/>
          <w:szCs w:val="24"/>
        </w:rPr>
        <w:t xml:space="preserve">At command scale, the ISR signal volume and fidelity exceeds the manual reporting process by orders of magnitude. A command with 60,000 troops generates signal from every in-processing event, every out-processing event, and every voluntary TA or COOL transaction across the force. Individual ESO offices managing 1,000 to 2,000 active cases contribute to a command-level aggregate that, when rolled up across installations and service branches, constitutes a national-level dataset on military education and transition system performance. Critically, this aggregation is not limited to education signal. Every institutional channel connected to the binding layer, including credentialing (COOL/CA), transition assistance (TAP), chaplain services, Voice of the Soldier/Veteran feedback, and command reporting, contributes de-identified transactional signal to the same governed pipeline. The ISR becomes a unified, multi-channel installation readiness picture.</w:t>
      </w:r>
    </w:p>
    <w:p>
      <w:pPr>
        <w:spacing w:after="160"/>
      </w:pPr>
      <w:r>
        <w:rPr>
          <w:rFonts w:ascii="Arial" w:cs="Arial" w:eastAsia="Arial" w:hAnsi="Arial"/>
          <w:sz w:val="24"/>
          <w:szCs w:val="24"/>
        </w:rPr>
        <w:t xml:space="preserve">The manual ISR process captures activity from the self-selecting subset of SMs who overcame every barrier to physically engage the education system during business hours. The CMGF-enabled ISR captures structured, constraint-contextualized signal from every institutional transaction across the full force, including the mandatory lifecycle touchpoints that ensure 100 percent coverage of the in-processing and out-processing populations.</w:t>
      </w:r>
    </w:p>
    <w:p>
      <w:pPr>
        <w:pStyle w:val="Heading2"/>
      </w:pPr>
      <w:r>
        <w:t xml:space="preserve">Signal Taxonomy</w:t>
      </w:r>
    </w:p>
    <w:p>
      <w:pPr>
        <w:spacing w:after="160"/>
      </w:pPr>
      <w:r>
        <w:rPr>
          <w:rFonts w:ascii="Arial" w:cs="Arial" w:eastAsia="Arial" w:hAnsi="Arial"/>
          <w:sz w:val="24"/>
          <w:szCs w:val="24"/>
        </w:rPr>
        <w:t xml:space="preserve">The following signal categories are capturable from Action Mode transactions through the de-identification firewall:</w:t>
      </w:r>
    </w:p>
    <w:p>
      <w:pPr>
        <w:pStyle w:val="ListParagraph"/>
        <w:numPr>
          <w:ilvl w:val="0"/>
          <w:numId w:val="2"/>
        </w:numPr>
        <w:spacing w:after="80"/>
      </w:pPr>
      <w:r>
        <w:rPr>
          <w:rFonts w:ascii="Arial" w:cs="Arial" w:eastAsia="Arial" w:hAnsi="Arial"/>
          <w:b/>
          <w:bCs/>
          <w:sz w:val="24"/>
          <w:szCs w:val="24"/>
        </w:rPr>
        <w:t xml:space="preserve">Issuer Funnels: </w:t>
      </w:r>
      <w:r>
        <w:rPr>
          <w:rFonts w:ascii="Arial" w:cs="Arial" w:eastAsia="Arial" w:hAnsi="Arial"/>
          <w:sz w:val="24"/>
          <w:szCs w:val="24"/>
        </w:rPr>
        <w:t xml:space="preserve">Exploration-to-request-to-approval-to-enrollment-to-completion conversion rates by credential pathway, revealing where the system loses participants and why.</w:t>
      </w:r>
    </w:p>
    <w:p>
      <w:pPr>
        <w:pStyle w:val="ListParagraph"/>
        <w:numPr>
          <w:ilvl w:val="0"/>
          <w:numId w:val="2"/>
        </w:numPr>
        <w:spacing w:after="80"/>
      </w:pPr>
      <w:r>
        <w:rPr>
          <w:rFonts w:ascii="Arial" w:cs="Arial" w:eastAsia="Arial" w:hAnsi="Arial"/>
          <w:b/>
          <w:bCs/>
          <w:sz w:val="24"/>
          <w:szCs w:val="24"/>
        </w:rPr>
        <w:t xml:space="preserve">Funding Constraint Patterns: </w:t>
      </w:r>
      <w:r>
        <w:rPr>
          <w:rFonts w:ascii="Arial" w:cs="Arial" w:eastAsia="Arial" w:hAnsi="Arial"/>
          <w:sz w:val="24"/>
          <w:szCs w:val="24"/>
        </w:rPr>
        <w:t xml:space="preserve">Frequency and distribution of No-Go signals attributable to funding caps (TA annual limits, CA caps, COOL eligibility boundaries). Evidence for budget reallocation.</w:t>
      </w:r>
    </w:p>
    <w:p>
      <w:pPr>
        <w:pStyle w:val="ListParagraph"/>
        <w:numPr>
          <w:ilvl w:val="0"/>
          <w:numId w:val="2"/>
        </w:numPr>
        <w:spacing w:after="80"/>
      </w:pPr>
      <w:r>
        <w:rPr>
          <w:rFonts w:ascii="Arial" w:cs="Arial" w:eastAsia="Arial" w:hAnsi="Arial"/>
          <w:b/>
          <w:bCs/>
          <w:sz w:val="24"/>
          <w:szCs w:val="24"/>
        </w:rPr>
        <w:t xml:space="preserve">Policy Friction Mapping: </w:t>
      </w:r>
      <w:r>
        <w:rPr>
          <w:rFonts w:ascii="Arial" w:cs="Arial" w:eastAsia="Arial" w:hAnsi="Arial"/>
          <w:sz w:val="24"/>
          <w:szCs w:val="24"/>
        </w:rPr>
        <w:t xml:space="preserve">Recurring constraint conflicts between authorities (e.g., state licensure requirements conflicting with DoD credential recognition, accreditation standards creating prerequisite sequences incompatible with military service timelines).</w:t>
      </w:r>
    </w:p>
    <w:p>
      <w:pPr>
        <w:pStyle w:val="ListParagraph"/>
        <w:numPr>
          <w:ilvl w:val="0"/>
          <w:numId w:val="2"/>
        </w:numPr>
        <w:spacing w:after="80"/>
      </w:pPr>
      <w:r>
        <w:rPr>
          <w:rFonts w:ascii="Arial" w:cs="Arial" w:eastAsia="Arial" w:hAnsi="Arial"/>
          <w:b/>
          <w:bCs/>
          <w:sz w:val="24"/>
          <w:szCs w:val="24"/>
        </w:rPr>
        <w:t xml:space="preserve">Operational Tempo Impact: </w:t>
      </w:r>
      <w:r>
        <w:rPr>
          <w:rFonts w:ascii="Arial" w:cs="Arial" w:eastAsia="Arial" w:hAnsi="Arial"/>
          <w:sz w:val="24"/>
          <w:szCs w:val="24"/>
        </w:rPr>
        <w:t xml:space="preserve">Correlation between operational status signals (DEPLOYED/TDY) and transaction completion rates, time-to-approval, and benefit utilization patterns.</w:t>
      </w:r>
    </w:p>
    <w:p>
      <w:pPr>
        <w:pStyle w:val="ListParagraph"/>
        <w:numPr>
          <w:ilvl w:val="0"/>
          <w:numId w:val="2"/>
        </w:numPr>
        <w:spacing w:after="80"/>
      </w:pPr>
      <w:r>
        <w:rPr>
          <w:rFonts w:ascii="Arial" w:cs="Arial" w:eastAsia="Arial" w:hAnsi="Arial"/>
          <w:b/>
          <w:bCs/>
          <w:sz w:val="24"/>
          <w:szCs w:val="24"/>
        </w:rPr>
        <w:t xml:space="preserve">Transition Readiness Indicators: </w:t>
      </w:r>
      <w:r>
        <w:rPr>
          <w:rFonts w:ascii="Arial" w:cs="Arial" w:eastAsia="Arial" w:hAnsi="Arial"/>
          <w:sz w:val="24"/>
          <w:szCs w:val="24"/>
        </w:rPr>
        <w:t xml:space="preserve">Aggregate credential gap analysis for the transitioning population, mapped against BLS employment projections and O*NET crosswalks for target civilian occupations.</w:t>
      </w:r>
    </w:p>
    <w:p>
      <w:pPr>
        <w:pStyle w:val="ListParagraph"/>
        <w:numPr>
          <w:ilvl w:val="0"/>
          <w:numId w:val="2"/>
        </w:numPr>
        <w:spacing w:after="80"/>
      </w:pPr>
      <w:r>
        <w:rPr>
          <w:rFonts w:ascii="Arial" w:cs="Arial" w:eastAsia="Arial" w:hAnsi="Arial"/>
          <w:b/>
          <w:bCs/>
          <w:sz w:val="24"/>
          <w:szCs w:val="24"/>
        </w:rPr>
        <w:t xml:space="preserve">Temporal Engagement Patterns: </w:t>
      </w:r>
      <w:r>
        <w:rPr>
          <w:rFonts w:ascii="Arial" w:cs="Arial" w:eastAsia="Arial" w:hAnsi="Arial"/>
          <w:sz w:val="24"/>
          <w:szCs w:val="24"/>
        </w:rPr>
        <w:t xml:space="preserve">When transactional actions occur relative to duty cycles, revealing whether institutional access constraints are systematically limiting participation. Additionally, cross-channel correlation patterns emerge when multiple channels are connected: chaplain demand spikes correlating with deployment orders and concurrent drops in education transactions, or Voice of the Soldier friction reports identifying navigation barriers across multiple channels simultaneously.</w:t>
      </w:r>
    </w:p>
    <w:p>
      <w:pPr>
        <w:pStyle w:val="Heading1"/>
      </w:pPr>
      <w:r>
        <w:t xml:space="preserve">Architectural Integrity Statement</w:t>
      </w:r>
    </w:p>
    <w:p>
      <w:pPr>
        <w:spacing w:after="160"/>
      </w:pPr>
      <w:r>
        <w:rPr>
          <w:rFonts w:ascii="Arial" w:cs="Arial" w:eastAsia="Arial" w:hAnsi="Arial"/>
          <w:sz w:val="24"/>
          <w:szCs w:val="24"/>
        </w:rPr>
        <w:t xml:space="preserve">The two-mode architecture documented in this brief preserves all CMGF governance constraints. The system does not train on user data, score individuals, predict outcomes, or automate decisions in either mode. The sandbox boundary adds a further constraint: institutional signal is generated only from SM-initiated transactional actions, never from private exploration. This boundary is architecturally enforced and immutable.</w:t>
      </w:r>
    </w:p>
    <w:p>
      <w:pPr>
        <w:spacing w:after="160"/>
      </w:pPr>
      <w:r>
        <w:rPr>
          <w:rFonts w:ascii="Arial" w:cs="Arial" w:eastAsia="Arial" w:hAnsi="Arial"/>
          <w:sz w:val="24"/>
          <w:szCs w:val="24"/>
        </w:rPr>
        <w:t xml:space="preserve">The ISR signal architecture captures institutional transactions at unprecedented fidelity without expanding what is reportable beyond the institutional actions that ESO offices are already required to process. CMGF does not create new reporting obligations. It structures, contextualizes, and aggregates the signal from existing institutional touchpoints, transforming the ISR from a manual compliance mechanism into an institutional learning engine. The full landscape of institutional authorities amenable to binding-layer integration is documented in CMGF-06 (Potential Authority Landscape). Deferred credential infrastructure components that would improve upstream data quality are documented in CMGF-05 (Credential Infrastructure, Session Continuity, and Upstream Integration).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8"/>
        <w:szCs w:val="18"/>
      </w:rPr>
      <w:t xml:space="preserve">CMGF Series 2026  |  McCoy</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i/>
        <w:iCs/>
        <w:color w:val="888888"/>
        <w:sz w:val="18"/>
        <w:szCs w:val="18"/>
      </w:rPr>
      <w:t xml:space="preserve">CMGF-04 Sandbox Architecture &amp; ISR Signal Boundary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2026-03-12T00:44:24.499Z</dcterms:created>
  <dcterms:modified xsi:type="dcterms:W3CDTF">2026-03-12T00:44:24.500Z</dcterms:modified>
</cp:coreProperties>
</file>

<file path=docProps/custom.xml><?xml version="1.0" encoding="utf-8"?>
<Properties xmlns="http://schemas.openxmlformats.org/officeDocument/2006/custom-properties" xmlns:vt="http://schemas.openxmlformats.org/officeDocument/2006/docPropsVTypes"/>
</file>