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rPr>
          <w:color w:val="666666"/>
          <w:sz w:val="20"/>
          <w:szCs w:val="20"/>
        </w:rPr>
      </w:pPr>
      <w:r>
        <w:rPr>
          <w:rFonts w:ascii="Arial" w:cs="Arial" w:eastAsia="Arial" w:hAnsi="Arial"/>
          <w:color w:val="666666"/>
          <w:sz w:val="20"/>
          <w:szCs w:val="20"/>
        </w:rPr>
        <w:t xml:space="preserve">CMGF Series 2026</w:t>
      </w:r>
    </w:p>
    <w:p>
      <w:pPr>
        <w:spacing w:after="40"/>
        <w:rPr>
          <w:b/>
          <w:bCs/>
          <w:color w:val="1F3864"/>
          <w:sz w:val="36"/>
          <w:szCs w:val="36"/>
        </w:rPr>
      </w:pPr>
      <w:r>
        <w:rPr>
          <w:rFonts w:ascii="Arial" w:cs="Arial" w:eastAsia="Arial" w:hAnsi="Arial"/>
          <w:b/>
          <w:bCs/>
          <w:color w:val="1F3864"/>
          <w:sz w:val="36"/>
          <w:szCs w:val="36"/>
        </w:rPr>
        <w:t xml:space="preserve">CMGF-06 Potential Authority Landscape</w:t>
      </w:r>
    </w:p>
    <w:p>
      <w:pPr>
        <w:spacing w:after="40"/>
        <w:rPr>
          <w:color w:val="1F3864"/>
          <w:sz w:val="28"/>
          <w:szCs w:val="28"/>
        </w:rPr>
      </w:pPr>
      <w:r>
        <w:rPr>
          <w:rFonts w:ascii="Arial" w:cs="Arial" w:eastAsia="Arial" w:hAnsi="Arial"/>
          <w:color w:val="1F3864"/>
          <w:sz w:val="28"/>
          <w:szCs w:val="28"/>
        </w:rPr>
        <w:t xml:space="preserve">Career Mobility Governance Framework</w:t>
      </w:r>
    </w:p>
    <w:p>
      <w:pPr>
        <w:spacing w:after="120"/>
        <w:rPr>
          <w:i/>
          <w:iCs/>
          <w:color w:val="444444"/>
          <w:sz w:val="24"/>
          <w:szCs w:val="24"/>
        </w:rPr>
      </w:pPr>
      <w:r>
        <w:rPr>
          <w:rFonts w:ascii="Arial" w:cs="Arial" w:eastAsia="Arial" w:hAnsi="Arial"/>
          <w:i/>
          <w:iCs/>
          <w:color w:val="444444"/>
          <w:sz w:val="24"/>
          <w:szCs w:val="24"/>
        </w:rPr>
        <w:t xml:space="preserve">Institutional Stakeholders and Governance Domains That Benefit from Binding-Layer Infrastructure</w:t>
      </w:r>
    </w:p>
    <w:p>
      <w:pPr>
        <w:pBdr>
          <w:bottom w:val="single" w:color="1F3864" w:sz="6" w:space="1"/>
        </w:pBdr>
        <w:spacing w:after="0"/>
      </w:pPr>
    </w:p>
    <w:p>
      <w:pPr>
        <w:spacing w:after="40"/>
        <w:rPr>
          <w:sz w:val="22"/>
          <w:szCs w:val="22"/>
        </w:rPr>
      </w:pPr>
      <w:r>
        <w:rPr>
          <w:rFonts w:ascii="Arial" w:cs="Arial" w:eastAsia="Arial" w:hAnsi="Arial"/>
          <w:sz w:val="22"/>
          <w:szCs w:val="22"/>
        </w:rPr>
        <w:t xml:space="preserve">Author: Robert E. McCoy</w:t>
      </w:r>
    </w:p>
    <w:p>
      <w:pPr>
        <w:spacing w:after="240"/>
        <w:rPr>
          <w:sz w:val="22"/>
          <w:szCs w:val="22"/>
        </w:rPr>
      </w:pPr>
      <w:r>
        <w:rPr>
          <w:rFonts w:ascii="Arial" w:cs="Arial" w:eastAsia="Arial" w:hAnsi="Arial"/>
          <w:sz w:val="22"/>
          <w:szCs w:val="22"/>
        </w:rPr>
        <w:t xml:space="preserve">Prepared for: Policy Stakeholders, Institutional Leadership, Interagency Coordination Bodies</w:t>
      </w:r>
    </w:p>
    <w:p>
      <w:pPr>
        <w:pStyle w:val="Heading1"/>
      </w:pPr>
      <w:r>
        <w:t xml:space="preserve">Executive Overview</w:t>
      </w:r>
    </w:p>
    <w:p>
      <w:pPr>
        <w:spacing w:after="160"/>
      </w:pPr>
      <w:r>
        <w:rPr>
          <w:rFonts w:ascii="Arial" w:cs="Arial" w:eastAsia="Arial" w:hAnsi="Arial"/>
          <w:sz w:val="24"/>
          <w:szCs w:val="24"/>
        </w:rPr>
        <w:t xml:space="preserve">The Career Mobility Governance Framework (CMGF) was developed and demonstrated within the context of military education services, specifically addressing the Education Services Officer (ESO) workflow and the CCME Track 1 pillars. However, the binding-layer architecture is not inherently limited to this single authority context. The structural problem CMGF addresses, fragmented institutional signals across decentralized authorities requiring human-governed integration at the point of decision-making, exists across multiple domains within the military transition ecosystem and beyond.</w:t>
      </w:r>
    </w:p>
    <w:p>
      <w:pPr>
        <w:spacing w:after="160"/>
      </w:pPr>
      <w:r>
        <w:rPr>
          <w:rFonts w:ascii="Arial" w:cs="Arial" w:eastAsia="Arial" w:hAnsi="Arial"/>
          <w:sz w:val="24"/>
          <w:szCs w:val="24"/>
        </w:rPr>
        <w:t xml:space="preserve">This brief maps the landscape of institutional authorities that could benefit from CMGF’s binding-layer architecture. For each authority domain, it identifies the specific fragmentation problem, the signal types the binding layer would integrate, the governance constraints that would apply, and the institutional learning outputs that would result.</w:t>
      </w:r>
    </w:p>
    <w:p>
      <w:pPr>
        <w:spacing w:after="160"/>
      </w:pPr>
      <w:r>
        <w:rPr>
          <w:rFonts w:ascii="Arial" w:cs="Arial" w:eastAsia="Arial" w:hAnsi="Arial"/>
          <w:sz w:val="24"/>
          <w:szCs w:val="24"/>
        </w:rPr>
        <w:t xml:space="preserve">In all domains, the sandbox/transaction boundary documented in CMGF-04 applies: service member exploration is architecturally non-reportable, and only transactional events generate institutional signal. This document does not propose implementation in any domain. It documents architectural applicability to inform future concept development, pilot design, and interagency coordination.</w:t>
      </w:r>
    </w:p>
    <w:p>
      <w:pPr>
        <w:pStyle w:val="Heading2"/>
      </w:pPr>
      <w:r>
        <w:t xml:space="preserve">Applicability Criteria</w:t>
      </w:r>
    </w:p>
    <w:p>
      <w:pPr>
        <w:spacing w:after="160"/>
      </w:pPr>
      <w:r>
        <w:rPr>
          <w:rFonts w:ascii="Arial" w:cs="Arial" w:eastAsia="Arial" w:hAnsi="Arial"/>
          <w:sz w:val="24"/>
          <w:szCs w:val="24"/>
        </w:rPr>
        <w:t xml:space="preserve">CMGF’s binding-layer architecture is applicable in any domain where:</w:t>
      </w:r>
    </w:p>
    <w:p>
      <w:pPr>
        <w:pStyle w:val="ListParagraph"/>
        <w:numPr>
          <w:ilvl w:val="0"/>
          <w:numId w:val="2"/>
        </w:numPr>
        <w:spacing w:after="80"/>
      </w:pPr>
      <w:r>
        <w:rPr>
          <w:rFonts w:ascii="Arial" w:cs="Arial" w:eastAsia="Arial" w:hAnsi="Arial"/>
          <w:sz w:val="24"/>
          <w:szCs w:val="24"/>
        </w:rPr>
        <w:t xml:space="preserve">Multiple independent authorities issue rules, credentials, or determinations that affect the same individual.</w:t>
      </w:r>
    </w:p>
    <w:p>
      <w:pPr>
        <w:pStyle w:val="ListParagraph"/>
        <w:numPr>
          <w:ilvl w:val="0"/>
          <w:numId w:val="2"/>
        </w:numPr>
        <w:spacing w:after="80"/>
      </w:pPr>
      <w:r>
        <w:rPr>
          <w:rFonts w:ascii="Arial" w:cs="Arial" w:eastAsia="Arial" w:hAnsi="Arial"/>
          <w:sz w:val="24"/>
          <w:szCs w:val="24"/>
        </w:rPr>
        <w:t xml:space="preserve">No single authority holds the mandate to unify the information landscape.</w:t>
      </w:r>
    </w:p>
    <w:p>
      <w:pPr>
        <w:pStyle w:val="ListParagraph"/>
        <w:numPr>
          <w:ilvl w:val="0"/>
          <w:numId w:val="2"/>
        </w:numPr>
        <w:spacing w:after="80"/>
      </w:pPr>
      <w:r>
        <w:rPr>
          <w:rFonts w:ascii="Arial" w:cs="Arial" w:eastAsia="Arial" w:hAnsi="Arial"/>
          <w:sz w:val="24"/>
          <w:szCs w:val="24"/>
        </w:rPr>
        <w:t xml:space="preserve">Advisors or case managers must manually integrate heterogeneous signals at the point of decision-making.</w:t>
      </w:r>
    </w:p>
    <w:p>
      <w:pPr>
        <w:pStyle w:val="ListParagraph"/>
        <w:numPr>
          <w:ilvl w:val="0"/>
          <w:numId w:val="2"/>
        </w:numPr>
        <w:spacing w:after="80"/>
      </w:pPr>
      <w:r>
        <w:rPr>
          <w:rFonts w:ascii="Arial" w:cs="Arial" w:eastAsia="Arial" w:hAnsi="Arial"/>
          <w:sz w:val="24"/>
          <w:szCs w:val="24"/>
        </w:rPr>
        <w:t xml:space="preserve">The individual navigating the system bears a disproportionate cognitive burden relative to institutional complexity.</w:t>
      </w:r>
    </w:p>
    <w:p>
      <w:pPr>
        <w:pStyle w:val="ListParagraph"/>
        <w:numPr>
          <w:ilvl w:val="0"/>
          <w:numId w:val="2"/>
        </w:numPr>
        <w:spacing w:after="80"/>
      </w:pPr>
      <w:r>
        <w:rPr>
          <w:rFonts w:ascii="Arial" w:cs="Arial" w:eastAsia="Arial" w:hAnsi="Arial"/>
          <w:sz w:val="24"/>
          <w:szCs w:val="24"/>
        </w:rPr>
        <w:t xml:space="preserve">Institutional learning is constrained by the absence of structured, aggregate signal from individual interactions.</w:t>
      </w:r>
    </w:p>
    <w:p>
      <w:r>
        <w:br w:type="page"/>
      </w:r>
    </w:p>
    <w:p>
      <w:pPr>
        <w:pStyle w:val="Heading1"/>
      </w:pPr>
      <w:r>
        <w:t xml:space="preserve">Authority Domain Analysis</w:t>
      </w:r>
    </w:p>
    <w:p>
      <w:pPr>
        <w:pStyle w:val="Heading2"/>
      </w:pPr>
      <w:r>
        <w:t xml:space="preserve">Domain 1: Education Services (ESO)</w:t>
      </w:r>
    </w:p>
    <w:p>
      <w:pPr>
        <w:spacing w:after="160"/>
      </w:pPr>
      <w:r>
        <w:rPr>
          <w:rFonts w:ascii="Arial" w:cs="Arial" w:eastAsia="Arial" w:hAnsi="Arial"/>
          <w:b/>
          <w:bCs/>
          <w:sz w:val="24"/>
          <w:szCs w:val="24"/>
        </w:rPr>
        <w:t xml:space="preserve">Current CMGF demonstration domain. </w:t>
      </w:r>
      <w:r>
        <w:rPr>
          <w:rFonts w:ascii="Arial" w:cs="Arial" w:eastAsia="Arial" w:hAnsi="Arial"/>
          <w:sz w:val="24"/>
          <w:szCs w:val="24"/>
        </w:rPr>
        <w:t xml:space="preserve">Included here for completeness and as the baseline reference for other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Fragmentation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TA eligibility, COOL/CA authorization, credential recognition, institutional transfer policies, and accreditation standards operate under independent authorities with no integrated visibility.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Signal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TA requests, COOL authorizations, credential pathway evaluations, in-processing baselines, out-processing transition assessments, constraint conflict patterns.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Governance Constraints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Non-predictive, non-automated. ESO retains approval authority. SM controls sandbox/transaction boundary.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Institutional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Funding cap impact, credential pathway bottlenecks, issuer funnels, operational tempo effects on education participation.</w:t>
            </w:r>
          </w:p>
        </w:tc>
      </w:tr>
    </w:tbl>
    <w:p>
      <w:pPr>
        <w:spacing w:after="160"/>
      </w:pPr>
      <w:r>
        <w:rPr>
          <w:rFonts w:ascii="Arial" w:cs="Arial" w:eastAsia="Arial" w:hAnsi="Arial"/>
          <w:sz w:val="24"/>
          <w:szCs w:val="24"/>
        </w:rPr>
        <w:t xml:space="preserve"/>
      </w:r>
    </w:p>
    <w:p>
      <w:pPr>
        <w:pStyle w:val="Heading2"/>
      </w:pPr>
      <w:r>
        <w:t xml:space="preserve">Domain 2: Transition Assistance Program (TAP)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Fragmentation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TAP operates at the intersection of DoD (transition policy), VA (post-service benefits), DoL (workforce development, WIOA funding), and state-level employment services. Separating SMs must navigate eligibility rules, benefit timing, credential recognition, and labor market information across these independent authorities simultaneously.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Signal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Transition timeline events, credential-to-career mapping against BLS projections and O*NET crosswalks, benefit transition planning (active-duty to VA), skills translation outputs (MOS/AFSC to SOC code mapping), employer certification requirements by target industry and geography.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Binding Layer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Surfaces conflicts between active-duty benefit timing and VA benefit activation. Integrates labor market data at the point of transition planning rather than as a generic briefing. Maps credential gaps against specific target occupations. Identifies where transition planning starts too late relative to credential completion timelines.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Governance Constraints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Same CMGF constraints apply. Additionally, transition-specific constraints: no prediction of post-service employment outcomes, no scoring of transition readiness, no automated determination of VA benefit eligibility.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Institutional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Aggregate transition readiness patterns. Credential gap frequency by MOS category. Time-from-separation-to-employment correlation with planning engagement depth. Policy friction between active-duty and VA benefit systems.</w:t>
            </w:r>
          </w:p>
        </w:tc>
      </w:tr>
    </w:tbl>
    <w:p>
      <w:pPr>
        <w:spacing w:after="160"/>
      </w:pPr>
      <w:r>
        <w:rPr>
          <w:rFonts w:ascii="Arial" w:cs="Arial" w:eastAsia="Arial" w:hAnsi="Arial"/>
          <w:sz w:val="24"/>
          <w:szCs w:val="24"/>
        </w:rPr>
        <w:t xml:space="preserve"/>
      </w:r>
    </w:p>
    <w:p>
      <w:pPr>
        <w:pStyle w:val="Heading2"/>
      </w:pPr>
      <w:r>
        <w:t xml:space="preserve">Domain 3: Credentialing Authorities (COOL / CA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Fragmentation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Military credentialing programs (Army COOL, Navy COOL, Air Force COOL) operate under service-specific policies with different funding caps, eligibility criteria, and approved credential lists. Civilian certification bodies (CompTIA, PMI, AWS, ACEN) set independent prerequisites. State licensing boards impose jurisdiction-specific requirements. No integrated view exists across these authorities.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Signal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CA authorization requests, certification exam scheduling, prerequisite satisfaction checks, cross-state licensure comparisons, credential stacking sequence evaluations, funding cap utilization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Binding Layer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Integrates COOL eligibility rules with civilian certification prerequisites and state licensing requirements in a single constraint evaluation. Surfaces conflicts between service-specific COOL policies and civilian credential sequencing requirements. Identifies where CA funding caps systematically prevent completion of credential stacks.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Governance Constraints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No recommendation of specific certifications over others. No ranking of credential value. Deterministic eligibility checking only. Certification body authority over prerequisites is preserved as Tier B constraints.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Institutional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Credential demand patterns by MOS. CA cap exhaustion rates and timing. Cross-service credential policy comparison. Certification pass/fail rates correlated with prerequisite pathway (where data is available from institutional sources).</w:t>
            </w:r>
          </w:p>
        </w:tc>
      </w:tr>
    </w:tbl>
    <w:p>
      <w:pPr>
        <w:spacing w:after="160"/>
      </w:pPr>
      <w:r>
        <w:rPr>
          <w:rFonts w:ascii="Arial" w:cs="Arial" w:eastAsia="Arial" w:hAnsi="Arial"/>
          <w:sz w:val="24"/>
          <w:szCs w:val="24"/>
        </w:rPr>
        <w:t xml:space="preserve"/>
      </w:r>
    </w:p>
    <w:p>
      <w:pPr>
        <w:pStyle w:val="Heading2"/>
      </w:pPr>
      <w:r>
        <w:t xml:space="preserve">Domain 4: Command and Installation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Fragmentation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Command leadership receives education and transition reporting through manual ISR processes that capture activity volume without constraint context. No visibility into why participation rates look the way they do, where policy constraints create structural barriers, or how operational tempo affects education engagement.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Signal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Aggregated ISR analytics from all ESO transactions within the command. Queue depth and time-to-action metrics. Operational status impact on education engagement. Installation-level credential demand patterns. Funding shortfall evidence.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Binding Layer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Transforms ISR from compliance reporting to institutional learning. Provides evidence-based justification for education resource allocation, staffing requests, and policy reform proposals. Enables comparison across installations and time periods.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Governance Constraints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Command leadership receives only de-identified aggregate output. No individual SM data. No retention prediction or risk scoring. Cohort thresholds enforced. Education engagement patterns cannot be used for individual performance evaluation.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Institutional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Force-level education readiness assessment. Education system capacity analysis (ESO staffing adequacy relative to demand). Policy impact measurement (effect of funding cap changes on participation patterns). Cross-installation benchmarking.</w:t>
            </w:r>
          </w:p>
        </w:tc>
      </w:tr>
    </w:tbl>
    <w:p>
      <w:pPr>
        <w:spacing w:after="160"/>
      </w:pPr>
      <w:r>
        <w:rPr>
          <w:rFonts w:ascii="Arial" w:cs="Arial" w:eastAsia="Arial" w:hAnsi="Arial"/>
          <w:sz w:val="24"/>
          <w:szCs w:val="24"/>
        </w:rPr>
        <w:t xml:space="preserve"/>
      </w:r>
    </w:p>
    <w:p>
      <w:pPr>
        <w:pStyle w:val="Heading2"/>
      </w:pPr>
      <w:r>
        <w:t xml:space="preserve">Domain 5: Higher Education Institutional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Fragmentation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Colleges and universities serving military learners must independently interpret ACE credit recommendations, evaluate military training against program-specific prerequisites, and navigate TA/VA funding rules. Transfer credit policies vary by institution and often by individual evaluator. Military learners encounter inconsistent treatment across institutions.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Signal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Credit evaluation outcomes (recommended vs. awarded), program enrollment patterns, prerequisite satisfaction rates for military learners, credential completion rates by pathway, transfer credit acceptance rates.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Binding Layer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Encodes institutional transfer policies as Tier C constraints visible to SMs and advisors before enrollment decisions are made. Surfaces discrepancies between ACE recommendations and institutional credit awards. Enables institutions to see how their policies compare to peer institutions serving the same military population.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Governance Constraints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Institutional academic freedom fully preserved. CMGF encodes institutional policies as-is; it does not evaluate, rank, or recommend institutions. Tier C constraints are institution-specific and do not override institutional authority.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Institutional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Aggregate patterns of credit loss between military training and institutional award. Identification of where institutional policies create systematic barriers for specific MOS categories. Evidence for institutional policy review and articulation agreement development.</w:t>
            </w:r>
          </w:p>
        </w:tc>
      </w:tr>
    </w:tbl>
    <w:p>
      <w:pPr>
        <w:spacing w:after="160"/>
      </w:pPr>
      <w:r>
        <w:rPr>
          <w:rFonts w:ascii="Arial" w:cs="Arial" w:eastAsia="Arial" w:hAnsi="Arial"/>
          <w:sz w:val="24"/>
          <w:szCs w:val="24"/>
        </w:rPr>
        <w:t xml:space="preserve"/>
      </w:r>
    </w:p>
    <w:p>
      <w:pPr>
        <w:pStyle w:val="Heading2"/>
      </w:pPr>
      <w:r>
        <w:t xml:space="preserve">Domain 6: Workforce Development and Employment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Fragmentation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Department of Labor workforce development programs (WIOA, American Job Centers), state employment services, and employer hiring systems operate independently from military education and credentialing systems. Veterans entering the civilian workforce must re-establish credential legibility in each new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Signal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MOS-to-SOC crosswalk utilization, BLS projection alignment with credential pathway choices, employer certification requirement matching, geographic labor market demand patterns, skills-based hiring signal from employer databases.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Binding Layer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Integrates labor market data as Tier D contextual signals within the constraint evaluation. Enables transitioning SMs to see how their credential portfolio maps to specific employer requirements in target geographies. Surfaces where military credential recognition is weakest relative to labor market demand.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Governance Constraints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Labor market data is strictly Tier D: informational, never prescriptive. No prediction of individual employment outcomes. No ranking of employers or career paths. BLS projections presented with uncertainty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Institutional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Aggregate credential-to-career alignment patterns. Identification of occupational categories where military credential recognition is systematically weak. Geographic demand concentration for specific military-adjacent skill sets. Evidence for employer engagement and credential recognition advocacy.</w:t>
            </w:r>
          </w:p>
        </w:tc>
      </w:tr>
    </w:tbl>
    <w:p>
      <w:pPr>
        <w:spacing w:after="160"/>
      </w:pPr>
      <w:r>
        <w:rPr>
          <w:rFonts w:ascii="Arial" w:cs="Arial" w:eastAsia="Arial" w:hAnsi="Arial"/>
          <w:sz w:val="24"/>
          <w:szCs w:val="24"/>
        </w:rPr>
        <w:t xml:space="preserve"/>
      </w:r>
    </w:p>
    <w:p>
      <w:pPr>
        <w:pStyle w:val="Heading2"/>
      </w:pPr>
      <w:r>
        <w:t xml:space="preserve">Domain 7: Department of Veterans Affairs (Post-Service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Fragmentation 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The transition from active-duty education benefits (TA, CA, COOL) to VA education benefits (Post-9/11 GI Bill, VR&amp;E) involves a change in governing authority, eligibility rules, institutional approval processes, and benefit structures. SMs approaching transition must navigate this handoff with limited integrated guidance.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Signal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Benefit transition timing, remaining TA entitlement vs. GI Bill eligibility, credential continuity across the active-to-veteran boundary, program approval differences between DoD and VA.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Binding Layer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Surfaces conflicts between active-duty benefit utilization and post-service benefit planning. Identifies where credential sequences started under TA cannot be completed under VA rules (or vice versa). Enables pre-separation visibility into post-service benefit landscape.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Governance Constraints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CMGF does not determine VA eligibility. VA authority is Tier A (statutory). The binding layer encodes VA rules for informational planning purposes only. All VA benefit determinations remain under VA authority. The active-duty CMGF pipeline explicitly excludes VA benefit administration.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Institutional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1"/>
                <w:szCs w:val="21"/>
              </w:rPr>
              <w:t xml:space="preserve">Aggregate patterns of benefit transition friction. Identification of where active-duty credential investments are stranded by VA program rules. Evidence for interagency policy harmonization between DoD and VA education authorities.</w:t>
            </w:r>
          </w:p>
        </w:tc>
      </w:tr>
    </w:tbl>
    <w:p>
      <w:r>
        <w:br w:type="page"/>
      </w:r>
    </w:p>
    <w:p>
      <w:pPr>
        <w:pStyle w:val="Heading1"/>
      </w:pPr>
      <w:r>
        <w:t xml:space="preserve">Cross-Domain Integration Value</w:t>
      </w:r>
    </w:p>
    <w:p>
      <w:pPr>
        <w:spacing w:after="160"/>
      </w:pPr>
      <w:r>
        <w:rPr>
          <w:rFonts w:ascii="Arial" w:cs="Arial" w:eastAsia="Arial" w:hAnsi="Arial"/>
          <w:sz w:val="24"/>
          <w:szCs w:val="24"/>
        </w:rPr>
        <w:t xml:space="preserve">The binding-layer architecture’s value increases with each additional authority domain integrated because the core problem is fragmentation across domains, not complexity within any single domain. An ESO managing TA approvals within a single authority context faces a manageable problem. An ESO helping a transitioning SM navigate TA rules, COOL eligibility, state licensure requirements, VA benefit timing, institutional transfer policies, and labor market signaling simultaneously faces a problem that exceeds human cognitive capacity at scale.</w:t>
      </w:r>
    </w:p>
    <w:p>
      <w:pPr>
        <w:spacing w:after="160"/>
      </w:pPr>
      <w:r>
        <w:rPr>
          <w:rFonts w:ascii="Arial" w:cs="Arial" w:eastAsia="Arial" w:hAnsi="Arial"/>
          <w:sz w:val="24"/>
          <w:szCs w:val="24"/>
        </w:rPr>
        <w:t xml:space="preserve">CMGF’s twelve-layer architecture is designed for this multi-authority environment. The four-tier authority classification (Statutory, Credentialing, Institutional, Descriptive) applies uniformly across all domains. The constraint binding engine evaluates rules from any authority without conflating their governance weight. The de-identification firewall produces aggregate institutional learning that spans authority boundaries, surfacing cross-domain friction that no single authority can observe from within its own reporting.</w:t>
      </w:r>
    </w:p>
    <w:p>
      <w:pPr>
        <w:spacing w:after="160"/>
      </w:pPr>
      <w:r>
        <w:rPr>
          <w:rFonts w:ascii="Arial" w:cs="Arial" w:eastAsia="Arial" w:hAnsi="Arial"/>
          <w:sz w:val="24"/>
          <w:szCs w:val="24"/>
        </w:rPr>
        <w:t xml:space="preserve">The governed evidence cycle closes across domains: individual planning friction in any authority context becomes collective intelligence visible to all stakeholders, driving policy reform that flows back into updated rules in the binding layer. The ISR signal architecture documented in CMGF-04 aggregates de-identified transactional signal from all connected channels into a unified, multi-channel installation readiness picture, enabling cross-domain institutional learning that no single authority can achieve from within its own reporting.</w:t>
      </w:r>
    </w:p>
    <w:p>
      <w:pPr>
        <w:pStyle w:val="Heading1"/>
      </w:pPr>
      <w:r>
        <w:t xml:space="preserve">Implementation Boundaries</w:t>
      </w:r>
    </w:p>
    <w:p>
      <w:pPr>
        <w:spacing w:after="160"/>
      </w:pPr>
      <w:r>
        <w:rPr>
          <w:rFonts w:ascii="Arial" w:cs="Arial" w:eastAsia="Arial" w:hAnsi="Arial"/>
          <w:sz w:val="24"/>
          <w:szCs w:val="24"/>
        </w:rPr>
        <w:t xml:space="preserve">This document identifies architectural applicability, not implementation proposals. Each authority domain requires its own governance authorization, institutional partnership development, rule base encoding effort, and pilot validation. CMGF’s architecture supports incremental domain integration: additional authority domains can be added to the binding layer without requiring architectural redesign, because the four-tier authority classification and twelve-layer architecture are domain-agnostic by design.</w:t>
      </w:r>
    </w:p>
    <w:p>
      <w:pPr>
        <w:spacing w:after="160"/>
      </w:pPr>
      <w:r>
        <w:rPr>
          <w:rFonts w:ascii="Arial" w:cs="Arial" w:eastAsia="Arial" w:hAnsi="Arial"/>
          <w:sz w:val="24"/>
          <w:szCs w:val="24"/>
        </w:rPr>
        <w:t xml:space="preserve">The recommended approach is to establish CMGF within the ESO/education services domain first, demonstrate institutional learning value, and then extend to adjacent domains (credentialing, transition, workforce development) as governance readiness and institutional partnerships mature. Each extension adds signal to the aggregate intelligence without altering the core governance constraints: no prediction, no optimization, no profiling, no automated decisions, and sandbox exploration remains private and non-reportable in every domain. Deferred upstream infrastructure components, including the Sovereign Credential Ledger and Credit Clearing House partnership documented in CMGF-05, would improve data quality flowing into the binding layer across all domains.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CMGF Series 2026  |  McCoy</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i/>
        <w:iCs/>
        <w:color w:val="888888"/>
        <w:sz w:val="18"/>
        <w:szCs w:val="18"/>
      </w:rPr>
      <w:t xml:space="preserve">CMGF-06 Potential Authority Landscape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2026-03-12T00:44:24.654Z</dcterms:created>
  <dcterms:modified xsi:type="dcterms:W3CDTF">2026-03-12T00:44:24.654Z</dcterms:modified>
</cp:coreProperties>
</file>

<file path=docProps/custom.xml><?xml version="1.0" encoding="utf-8"?>
<Properties xmlns="http://schemas.openxmlformats.org/officeDocument/2006/custom-properties" xmlns:vt="http://schemas.openxmlformats.org/officeDocument/2006/docPropsVTypes"/>
</file>