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Changelog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All notable changes to the **FinCommerce** project will be documented in this file.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[1.2.0] - 2026-07-16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**Interactive Inventory CRUD**: Implemented fully interactive Create, Edit, and Delete actions inside the **Stock &amp; SKU Mappings** catalog table.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Catalog Rendering**: Migrated the inventory view to dynamically populate from a script state array, handling real-time additions and removals.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Search Filtering**: Connected the catalog search input to filter items by SKU or product name dynamically.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 Sync Checkboxes**: Integrated Shopee, Lazada, and TikTok target sync checkboxes into the single Create/Edit/Delete modals and the Bulk Excel Upload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**Excel Drop Upload Handling**: Added excel drop zone handlers that simulate parsing row columns (`master_sku`, `stock_level`, etc.) and redirect merchants back to the inventory list.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User Manual Update**: Extended `User_Manual.md` and `User_Manual.docx` to document single CRUD actions, batch templates, and column type maps.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**Dashboard In-App User Guide**: Integrated the Batch Upload User Guide card with column structure descriptions and a dynamic template download button directly into the Batch Upload Listing dashboard panel.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[1.1.0] - 2026-07-13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**Easy-Going Light Mode Theme**: Redesigned all frontend UI panels (Login, Register, Recoveries, OAuth consents, and Dashboard) using a clean slate-50/white styling system to reduce eye strain.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**23-Inch Monitor Optimizations**: Adjusted padding, container gaps, and locked the layout container height to a fixed `calc(100vh - 110px)` (max-height `780px`) to prevent scrollbar rendering.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**Technical Deliverables Suite**: Created stand-alone specifications for Context/Process DFDs, ERD models, Use Case limits, Sequential OAuth signals, and REST API Swagger Specs.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**QA Integration Plans**: Formulated the BDD Feature files, Performance/Security load testing cases (200 concurrent users), and OS/Browser compatibility checks.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Compilers**: Setup automated python compilation scripts (`generate_word_docs.py`, `generate_excel_docs.py`) converting markdown to WPS Office `.docx` and `.xlsx` files.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Changed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Moved inline diagrams and spec sections out of BRD/FSD into individual Word documents to maintain distinct professional WPS Office files.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[1.0.0] - 2026-07-10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Initial project structure scaffolding (Dockerfile, docker-compose, requirements).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Core BRD, FSD, Project Timeline, and Requirements Traceability Matrix (RTM) outlines.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High-fidelity authentication portals (`index.html`, `register.html`, `oauth_mock.html`).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Simulated 2-Step verification OTP challenges and self-service SMS/email recovery modals.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