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Changelog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All notable changes to the **FinCommerce** project will be documented in this file.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[1.2.0] - 2026-07-16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**Interactive Inventory CRUD**: Implemented fully interactive Create, Edit, and Delete actions inside the **Stock &amp; SKU Mappings** catalog table.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**Dynamic Catalog Rendering**: Migrated the inventory view to dynamically populate from a script state array, handling real-time additions and removals.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**Dynamic Search Filtering**: Connected the catalog search input to filter items by SKU or product name dynamically.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**Platform Sync Checkboxes**: Integrated Shopee, Lazada, and TikTok target sync checkboxes into the single Create/Edit/Delete modals and the Bulk Excel Upload panel.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**Excel Drop Upload Handling**: Added excel drop zone handlers that simulate parsing row columns (`master_sku`, `stock_level`, etc.) and redirect merchants back to the inventory list.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**WPS Office User Manual Update**: Extended `User_Manual.md` and `User_Manual.docx` to document single CRUD actions, batch templates, and column type maps.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**Dashboard In-App User Guide**: Integrated the Batch Upload User Guide card with column structure descriptions and a dynamic template download button directly into the Batch Upload Listing dashboard panel.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**Merchant Profile &amp; Postpaid Billing Settings**: Implemented split first/last name inputs, postpaid plan selection, active payment method selectors, subscription cancellation hooks, and conditional deletion rules (blocks account deletion unless active plan is Free).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[1.1.0] - 2026-07-13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**Easy-Going Light Mode Theme**: Redesigned all frontend UI panels (Login, Register, Recoveries, OAuth consents, and Dashboard) using a clean slate-50/white styling system to reduce eye strain.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**23-Inch Monitor Optimizations**: Adjusted padding, container gaps, and locked the layout container height to a fixed `calc(100vh - 110px)` (max-height `780px`) to prevent scrollbar rendering.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**Technical Deliverables Suite**: Created stand-alone specifications for Context/Process DFDs, ERD models, Use Case limits, Sequential OAuth signals, and REST API Swagger Specs.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**QA Integration Plans**: Formulated the BDD Feature files, Performance/Security load testing cases (200 concurrent users), and OS/Browser compatibility checks.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**WPS Office Compilers**: Setup automated python compilation scripts (`generate_word_docs.py`, `generate_excel_docs.py`) converting markdown to WPS Office `.docx` and `.xlsx` files.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Changed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Moved inline diagrams and spec sections out of BRD/FSD into individual Word documents to maintain distinct professional WPS Office files.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[1.0.0] - 2026-07-10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Initial project structure scaffolding (Dockerfile, docker-compose, requirements).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Core BRD, FSD, Project Timeline, and Requirements Traceability Matrix (RTM) outlines.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High-fidelity authentication portals (`index.html`, `register.html`, `oauth_mock.html`).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Simulated 2-Step verification OTP challenges and self-service SMS/email recovery modals.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