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80"/>
      </w:pPr>
      <w:r>
        <w:rPr>
          <w:rFonts w:ascii="Segoe UI" w:hAnsi="Segoe UI"/>
          <w:b/>
          <w:color w:val="6366F1"/>
          <w:sz w:val="40"/>
        </w:rPr>
        <w:t>Changelog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All notable changes to the **FinCommerce** project will be documented in this file.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[1.2.0] - 2026-07-16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Added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**Interactive Inventory CRUD**: Implemented fully interactive Create, Edit, and Delete actions inside the **Stock &amp; SKU Mappings** catalog table.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**Dynamic Catalog Rendering**: Migrated the inventory view to dynamically populate from a script state array, handling real-time additions and removals.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**Dynamic Search Filtering**: Connected the catalog search input to filter items by SKU or product name dynamically.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**Platform Sync Checkboxes**: Integrated Shopee, Lazada, and TikTok target sync checkboxes into the single Create/Edit/Delete modals and the Bulk Excel Upload panel.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**Excel Drop Upload Handling**: Added excel drop zone handlers that simulate parsing row columns (`master_sku`, `stock_level`, etc.) and redirect merchants back to the inventory list.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**WPS Office User Manual Update**: Extended `User_Manual.md` and `User_Manual.docx` to document single CRUD actions, batch templates, and column type maps.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**Dashboard In-App User Guide**: Integrated the Batch Upload User Guide card with column structure descriptions and a dynamic template download button directly into the Batch Upload Listing dashboard panel.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**Merchant Profile &amp; Postpaid Billing Settings**: Implemented split first/last name inputs, postpaid plan selection, active payment method selectors, subscription cancellation hooks, and conditional deletion rules (blocks account deletion unless active plan is Free).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**Payment/Payout Tracking Ledger**: Added a dedicated Payment Tracking sidebar tab listing expected payouts, platform fees deductions, and net settlements with live platform exclusions and status filtering.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**Order Management Dashboard Tab**: Added a tab to accept orders, cancel transactions with mandatory platform-specific follow-up reasons, and spooled thermal printing logs for AWBs, invoices, and picklists, all simulated via dynamic platform API mock parameters.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[1.1.0] - 2026-07-13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Added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**Easy-Going Light Mode Theme**: Redesigned all frontend UI panels (Login, Register, Recoveries, OAuth consents, and Dashboard) using a clean slate-50/white styling system to reduce eye strain.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**23-Inch Monitor Optimizations**: Adjusted padding, container gaps, and locked the layout container height to a fixed `calc(100vh - 110px)` (max-height `780px`) to prevent scrollbar rendering.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**Technical Deliverables Suite**: Created stand-alone specifications for Context/Process DFDs, ERD models, Use Case limits, Sequential OAuth signals, and REST API Swagger Specs.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**QA Integration Plans**: Formulated the BDD Feature files, Performance/Security load testing cases (200 concurrent users), and OS/Browser compatibility checks.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**WPS Office Compilers**: Setup automated python compilation scripts (`generate_word_docs.py`, `generate_excel_docs.py`) converting markdown to WPS Office `.docx` and `.xlsx` files.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Changed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Moved inline diagrams and spec sections out of BRD/FSD into individual Word documents to maintain distinct professional WPS Office files.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[1.0.0] - 2026-07-10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Added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Initial project structure scaffolding (Dockerfile, docker-compose, requirements).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Core BRD, FSD, Project Timeline, and Requirements Traceability Matrix (RTM) outlines.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High-fidelity authentication portals (`index.html`, `register.html`, `oauth_mock.html`).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Simulated 2-Step verification OTP challenges and self-service SMS/email recovery modals.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