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80"/>
      </w:pPr>
      <w:r>
        <w:rPr>
          <w:rFonts w:ascii="Segoe UI" w:hAnsi="Segoe UI"/>
          <w:b/>
          <w:color w:val="6366F1"/>
          <w:sz w:val="40"/>
        </w:rPr>
        <w:t>Changelog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All notable changes to the **FinCommerce** project will be documented in this file.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---</w:t>
      </w:r>
    </w:p>
    <w:p>
      <w:pPr>
        <w:keepNext/>
        <w:spacing w:before="240" w:after="80"/>
      </w:pPr>
      <w:r>
        <w:rPr>
          <w:rFonts w:ascii="Segoe UI" w:hAnsi="Segoe UI"/>
          <w:b/>
          <w:color w:val="06B6D4"/>
          <w:sz w:val="30"/>
        </w:rPr>
        <w:t>[1.2.0] - 2026-07-16</w:t>
      </w:r>
    </w:p>
    <w:p>
      <w:pPr>
        <w:keepNext/>
        <w:spacing w:before="240" w:after="80"/>
      </w:pPr>
      <w:r>
        <w:rPr>
          <w:rFonts w:ascii="Segoe UI" w:hAnsi="Segoe UI"/>
          <w:b/>
          <w:color w:val="374151"/>
          <w:sz w:val="24"/>
        </w:rPr>
        <w:t>Added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**Interactive Inventory CRUD**: Implemented fully interactive Create, Edit, and Delete actions inside the **Stock &amp; SKU Mappings** catalog table.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**Dynamic Catalog Rendering**: Migrated the inventory view to dynamically populate from a script state array, handling real-time additions and removals.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**Dynamic Search Filtering**: Connected the catalog search input to filter items by SKU or product name dynamically.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**Platform Sync Checkboxes**: Integrated Shopee, Lazada, and TikTok target sync checkboxes into the single Create/Edit/Delete modals and the Bulk Excel Upload panel.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**Excel Drop Upload Handling**: Added excel drop zone handlers that simulate parsing row columns (`master_sku`, `stock_level`, etc.) and redirect merchants back to the inventory list.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**WPS Office User Manual Update**: Extended `User_Manual.md` and `User_Manual.docx` to document single CRUD actions, batch templates, and column type maps.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**Dashboard In-App User Guide**: Integrated the Batch Upload User Guide card with column structure descriptions and a dynamic template download button directly into the Batch Upload Listing dashboard panel.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---</w:t>
      </w:r>
    </w:p>
    <w:p>
      <w:pPr>
        <w:keepNext/>
        <w:spacing w:before="240" w:after="80"/>
      </w:pPr>
      <w:r>
        <w:rPr>
          <w:rFonts w:ascii="Segoe UI" w:hAnsi="Segoe UI"/>
          <w:b/>
          <w:color w:val="06B6D4"/>
          <w:sz w:val="30"/>
        </w:rPr>
        <w:t>[1.1.0] - 2026-07-13</w:t>
      </w:r>
    </w:p>
    <w:p>
      <w:pPr>
        <w:keepNext/>
        <w:spacing w:before="240" w:after="80"/>
      </w:pPr>
      <w:r>
        <w:rPr>
          <w:rFonts w:ascii="Segoe UI" w:hAnsi="Segoe UI"/>
          <w:b/>
          <w:color w:val="374151"/>
          <w:sz w:val="24"/>
        </w:rPr>
        <w:t>Added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**Easy-Going Light Mode Theme**: Redesigned all frontend UI panels (Login, Register, Recoveries, OAuth consents, and Dashboard) using a clean slate-50/white styling system to reduce eye strain.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**23-Inch Monitor Optimizations**: Adjusted padding, container gaps, and locked the layout container height to a fixed `calc(100vh - 110px)` (max-height `780px`) to prevent scrollbar rendering.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**Technical Deliverables Suite**: Created stand-alone specifications for Context/Process DFDs, ERD models, Use Case limits, Sequential OAuth signals, and REST API Swagger Specs.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**QA Integration Plans**: Formulated the BDD Feature files, Performance/Security load testing cases (200 concurrent users), and OS/Browser compatibility checks.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**WPS Office Compilers**: Setup automated python compilation scripts (`generate_word_docs.py`, `generate_excel_docs.py`) converting markdown to WPS Office `.docx` and `.xlsx` files.</w:t>
      </w:r>
    </w:p>
    <w:p>
      <w:pPr>
        <w:keepNext/>
        <w:spacing w:before="240" w:after="80"/>
      </w:pPr>
      <w:r>
        <w:rPr>
          <w:rFonts w:ascii="Segoe UI" w:hAnsi="Segoe UI"/>
          <w:b/>
          <w:color w:val="374151"/>
          <w:sz w:val="24"/>
        </w:rPr>
        <w:t>Changed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Moved inline diagrams and spec sections out of BRD/FSD into individual Word documents to maintain distinct professional WPS Office files.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---</w:t>
      </w:r>
    </w:p>
    <w:p>
      <w:pPr>
        <w:keepNext/>
        <w:spacing w:before="240" w:after="80"/>
      </w:pPr>
      <w:r>
        <w:rPr>
          <w:rFonts w:ascii="Segoe UI" w:hAnsi="Segoe UI"/>
          <w:b/>
          <w:color w:val="06B6D4"/>
          <w:sz w:val="30"/>
        </w:rPr>
        <w:t>[1.0.0] - 2026-07-10</w:t>
      </w:r>
    </w:p>
    <w:p>
      <w:pPr>
        <w:keepNext/>
        <w:spacing w:before="240" w:after="80"/>
      </w:pPr>
      <w:r>
        <w:rPr>
          <w:rFonts w:ascii="Segoe UI" w:hAnsi="Segoe UI"/>
          <w:b/>
          <w:color w:val="374151"/>
          <w:sz w:val="24"/>
        </w:rPr>
        <w:t>Added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Initial project structure scaffolding (Dockerfile, docker-compose, requirements).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Core BRD, FSD, Project Timeline, and Requirements Traceability Matrix (RTM) outlines.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High-fidelity authentication portals (`index.html`, `register.html`, `oauth_mock.html`).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Simulated 2-Step verification OTP challenges and self-service SMS/email recovery modals.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