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80"/>
      </w:pPr>
      <w:r>
        <w:rPr>
          <w:rFonts w:ascii="Segoe UI" w:hAnsi="Segoe UI"/>
          <w:b/>
          <w:color w:val="6366F1"/>
          <w:sz w:val="40"/>
        </w:rPr>
        <w:t>Changelog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All notable changes to the **FinCommerce** project will be documented in this file.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[1.2.0] - 2026-07-16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Added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**Interactive Inventory CRUD**: Implemented fully interactive Create, Edit, and Delete actions inside the **Stock &amp; SKU Mappings** catalog table.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**Dynamic Catalog Rendering**: Migrated the inventory view to dynamically populate from a script state array, handling real-time additions and removals.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**Dynamic Search Filtering**: Connected the catalog search input to filter items by SKU or product name dynamically.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**Platform Sync Checkboxes**: Integrated Shopee, Lazada, and TikTok target sync checkboxes into the single Create/Edit/Delete modals and the Bulk Excel Upload panel.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**Excel Drop Upload Handling**: Added excel drop zone handlers that simulate parsing row columns (`master_sku`, `stock_level`, etc.) and redirect merchants back to the inventory list.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**WPS Office User Manual Update**: Extended `User_Manual.md` and `User_Manual.docx` to document single CRUD actions, batch templates, and column type maps.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**Dashboard In-App User Guide**: Integrated the Batch Upload User Guide card with column structure descriptions and a dynamic template download button directly into the Batch Upload Listing dashboard panel.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**Merchant Profile &amp; Postpaid Billing Settings**: Implemented split first/last name inputs, postpaid plan selection, active payment method selectors, subscription cancellation hooks, and conditional deletion rules (blocks account deletion unless active plan is Free).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**Payment/Payout Tracking Ledger**: Added a dedicated Payment Tracking sidebar tab listing expected payouts, platform fees deductions, and net settlements with live platform exclusions and status filtering.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[1.1.0] - 2026-07-13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Added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**Easy-Going Light Mode Theme**: Redesigned all frontend UI panels (Login, Register, Recoveries, OAuth consents, and Dashboard) using a clean slate-50/white styling system to reduce eye strain.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**23-Inch Monitor Optimizations**: Adjusted padding, container gaps, and locked the layout container height to a fixed `calc(100vh - 110px)` (max-height `780px`) to prevent scrollbar rendering.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**Technical Deliverables Suite**: Created stand-alone specifications for Context/Process DFDs, ERD models, Use Case limits, Sequential OAuth signals, and REST API Swagger Specs.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**QA Integration Plans**: Formulated the BDD Feature files, Performance/Security load testing cases (200 concurrent users), and OS/Browser compatibility checks.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**WPS Office Compilers**: Setup automated python compilation scripts (`generate_word_docs.py`, `generate_excel_docs.py`) converting markdown to WPS Office `.docx` and `.xlsx` files.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Changed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Moved inline diagrams and spec sections out of BRD/FSD into individual Word documents to maintain distinct professional WPS Office files.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[1.0.0] - 2026-07-10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Added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Initial project structure scaffolding (Dockerfile, docker-compose, requirements).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Core BRD, FSD, Project Timeline, and Requirements Traceability Matrix (RTM) outlines.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High-fidelity authentication portals (`index.html`, `register.html`, `oauth_mock.html`).</w:t>
      </w:r>
    </w:p>
    <w:p>
      <w:pPr>
        <w:pStyle w:val="ListBullet"/>
        <w:spacing w:before="0" w:after="40"/>
      </w:pPr>
      <w:r>
        <w:rPr>
          <w:rFonts w:ascii="Segoe UI" w:hAnsi="Segoe UI"/>
          <w:color w:val="374151"/>
          <w:sz w:val="21"/>
        </w:rPr>
        <w:t>Simulated 2-Step verification OTP challenges and self-service SMS/email recovery modals.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