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Compatibility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the testing parameters and compatibility matrices to verify correct styling, layout rendering, and functional behaviors of FinCommerce across operating systems and web browsers.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Compatibility Matrices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Supported Web Browsers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**Desktop**: Google Chrome (Latest), Apple Safari (Latest), Microsoft Edge (Latest), Mozilla Firefox (Latest).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**Mobile**: iOS Mobile Safari, Android Google Chrome, native hybrid WebViews (Lazada/Shopee/TikTok inner in-app browsers).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1.2 Supported Operating Systems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**Desktop**: Windows 10, Windows 11, macOS (Latest version only).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**Mobile**: iOS (Version 18 and 19), Android (Latest versions).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Compatibility Test Cases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Browser Compatibility Test Cases (Web Rendering &amp; Engine Actions)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Flexbox &amp; Grid Rendering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Render dashboard layout in Chrome, Safari, Firefox, and Edge.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Navigation sidebar and content grids align correctly without wrapping issues.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Glassmorphic Backdrop CSS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blur effect (`backdrop-filter`) on Safari and Chrome.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Glassmorphic overlays blur backgrounds correctly (using `-webkit-backdrop-filter` fallback on iOS/macOS).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Social OAuth popup messaging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Google login on Chrome (Windows) and Mobile Safari (iOS).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Popups open, register event listeners, and post messages back to parent window correctly.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Cookie Session Expiries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session cookie write and read in private/incognito modes.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HTTP-Only session cookies persist when "Remember Me" is toggled, and expire on session close.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Biometric WebAuthn prompt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"Sign In with Biometrics" on browsers support.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WebAuthn credentials selection prompt displays natively.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**TC-COMP-06**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Chatbot Bubble Z-Index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Scroll the page and check floating chat bubble positioning.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The chat bubble stays fixed at the bottom-right and layers above all cards/tables (`z-index: 4000`).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**TC-COMP-07**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PromptPay SVG Rendering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Inspect checkout PromptPay QR code on Firefox, Safari, and Chrome.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SVG vector scales dynamically and preserves high-contrast lines for physical scanning.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2.2 OS Compatibility Test Cases (Platform Touch &amp; viewport limits)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