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124D" w14:textId="2A1275F1" w:rsidR="00D02269" w:rsidRPr="007C623E" w:rsidRDefault="00D02269" w:rsidP="007C623E"/>
    <w:p>
      <w:pPr>
        <w:spacing w:after="80" w:before="0"/>
        <w:jc w:val="center"/>
      </w:pPr>
      <w:r>
        <w:rPr>
          <w:b/>
          <w:i w:val="0"/>
          <w:color w:val="C00000"/>
          <w:sz w:val="18"/>
        </w:rPr>
        <w:t>DRAFT — NOT SENT  ·  Internal use only  ·  John Quinn / Exos Aerospace</w:t>
      </w:r>
    </w:p>
    <w:p>
      <w:pPr>
        <w:spacing w:after="20" w:before="0"/>
      </w:pPr>
      <w:r>
        <w:rPr>
          <w:b/>
          <w:i w:val="0"/>
          <w:sz w:val="21"/>
        </w:rPr>
        <w:t>To:</w:t>
      </w:r>
    </w:p>
    <w:p>
      <w:pPr>
        <w:spacing w:after="60" w:before="0"/>
        <w:ind w:left="720"/>
      </w:pPr>
      <w:r>
        <w:rPr>
          <w:b w:val="0"/>
          <w:i w:val="0"/>
          <w:sz w:val="21"/>
        </w:rPr>
        <w:t>Jim Wertz and members of the SSLC Board of Directors</w:t>
      </w:r>
    </w:p>
    <w:p>
      <w:pPr>
        <w:spacing w:after="20" w:before="0"/>
      </w:pPr>
      <w:r>
        <w:rPr>
          <w:b/>
          <w:i w:val="0"/>
          <w:sz w:val="21"/>
        </w:rPr>
        <w:t>From:</w:t>
      </w:r>
    </w:p>
    <w:p>
      <w:pPr>
        <w:spacing w:after="60" w:before="0"/>
        <w:ind w:left="720"/>
      </w:pPr>
      <w:r>
        <w:rPr>
          <w:b w:val="0"/>
          <w:i w:val="0"/>
          <w:sz w:val="21"/>
        </w:rPr>
        <w:t>John M. Quinn, Cofounder &amp; CEO, Exos Aerospace Systems &amp; Technologies, Inc.</w:t>
      </w:r>
    </w:p>
    <w:p>
      <w:pPr>
        <w:spacing w:after="20" w:before="0"/>
      </w:pPr>
      <w:r>
        <w:rPr>
          <w:b/>
          <w:i w:val="0"/>
          <w:sz w:val="21"/>
        </w:rPr>
        <w:t>Date:</w:t>
      </w:r>
    </w:p>
    <w:p>
      <w:pPr>
        <w:spacing w:after="60" w:before="0"/>
        <w:ind w:left="720"/>
      </w:pPr>
      <w:r>
        <w:rPr>
          <w:b w:val="0"/>
          <w:i w:val="0"/>
          <w:sz w:val="21"/>
        </w:rPr>
        <w:t>October 9, 2026</w:t>
      </w:r>
    </w:p>
    <w:p>
      <w:pPr>
        <w:spacing w:after="20" w:before="0"/>
      </w:pPr>
      <w:r>
        <w:rPr>
          <w:b/>
          <w:i w:val="0"/>
          <w:sz w:val="21"/>
        </w:rPr>
        <w:t>Subject:</w:t>
      </w:r>
    </w:p>
    <w:p>
      <w:pPr>
        <w:spacing w:after="120" w:before="0"/>
        <w:ind w:left="720"/>
      </w:pPr>
      <w:r>
        <w:rPr>
          <w:b w:val="0"/>
          <w:i w:val="0"/>
          <w:sz w:val="21"/>
        </w:rPr>
        <w:t>Exos offer for SSLC — summary</w:t>
      </w:r>
    </w:p>
    <w:p>
      <w:pPr>
        <w:spacing w:after="120"/>
        <w:pBdr>
          <w:bottom w:val="single" w:sz="6" w:space="1" w:color="1F3A68"/>
        </w:pBdr>
      </w:pPr>
    </w:p>
    <w:p>
      <w:pPr>
        <w:spacing w:after="80" w:before="0"/>
      </w:pPr>
      <w:r>
        <w:rPr>
          <w:b w:val="0"/>
          <w:i w:val="0"/>
          <w:sz w:val="21"/>
        </w:rPr>
        <w:t>Jim and members of the Board,</w:t>
      </w:r>
    </w:p>
    <w:p>
      <w:pPr>
        <w:spacing w:after="80" w:before="0"/>
      </w:pPr>
      <w:r>
        <w:rPr>
          <w:b w:val="0"/>
          <w:i w:val="0"/>
          <w:sz w:val="21"/>
        </w:rPr>
        <w:t>Attached is Exos's offer to acquire SSLC's assets under Section 3 of our May 2025 Asset Acquisition Agreement. In short:</w:t>
      </w:r>
    </w:p>
    <w:p>
      <w:pPr>
        <w:spacing w:after="80"/>
        <w:ind w:left="360"/>
      </w:pPr>
      <w:r>
        <w:rPr>
          <w:sz w:val="21"/>
        </w:rPr>
        <w:t>•  At close: $3.86M in cash, transaction costs, credit for Exos's existing stake and a working-capital bridge — plus $1.0M of Exos stock (EAI units at the current 409A value), for $4.86M at financing close. The EAI units are restricted at issuance (Rule 504 Reg D) and are structured to provide part of the public float, becoming freely tradeable at the RTO listing.</w:t>
      </w:r>
    </w:p>
    <w:p>
      <w:pPr>
        <w:spacing w:after="80"/>
        <w:ind w:left="360"/>
      </w:pPr>
      <w:r>
        <w:rPr>
          <w:sz w:val="21"/>
        </w:rPr>
        <w:t>•  Over five years: earn-outs on IM tank revenue, five milestones (M1: $5.1M FY27 revenue; M2: Nebula OTV flight tank set delivered and accepted by Intuitive Machines; M5: 50% reduction in tank build cost via dome and build-process automation), and additional Exos stock, bringing total value to $6.3M–$9.5M.</w:t>
      </w:r>
    </w:p>
    <w:p>
      <w:pPr>
        <w:spacing w:after="80"/>
        <w:ind w:left="360"/>
      </w:pPr>
      <w:r>
        <w:rPr>
          <w:sz w:val="21"/>
        </w:rPr>
        <w:t>•  Upside: if holders keep their Exos stock through 2031, the projected total is ~$11.5M–$18.9M. This is a projection, not a guarantee.</w:t>
      </w:r>
    </w:p>
    <w:p>
      <w:pPr>
        <w:spacing w:after="80" w:before="0"/>
      </w:pPr>
    </w:p>
    <w:p>
      <w:pPr>
        <w:spacing w:after="120" w:before="0"/>
      </w:pPr>
      <w:r>
        <w:rPr>
          <w:b w:val="0"/>
          <w:i w:val="0"/>
          <w:sz w:val="21"/>
        </w:rPr>
        <w:t>The up-front price reflects what the numbers support today; the earn-outs are how that value grows as goals are met. With $198K in cash and a $5.1M year requiring double last quarter's pace, this offer removes the funding risk and gives SSLC holders a direct share of the upside.</w:t>
      </w:r>
    </w:p>
    <w:p>
      <w:pPr>
        <w:spacing w:after="120" w:before="0"/>
      </w:pPr>
      <w:r>
        <w:rPr>
          <w:b w:val="0"/>
          <w:i w:val="0"/>
          <w:sz w:val="21"/>
        </w:rPr>
        <w:t>SSLC employees. Jim, to your question: Exos shall offer employment to SSLC employees, including management, support, engineering, and other technical and manufacturing employees, on terms no less favorable than their current employment terms with SSLC (including compensation and benefits), subject to each employee satisfying Exos's standard hiring policies and Exos's completion of confirmatory due diligence. In addition, Exos will develop an option pool for key SSLC employees, to be mutually agreed in the Definitive Agreement.</w:t>
      </w:r>
    </w:p>
    <w:p>
      <w:pPr>
        <w:spacing w:after="160" w:before="0"/>
      </w:pPr>
      <w:r>
        <w:rPr>
          <w:b w:val="0"/>
          <w:i w:val="0"/>
          <w:sz w:val="21"/>
        </w:rPr>
        <w:t>We ask the Board to confirm §3 exclusivity so we can proceed to close. Confirming exclusivity starts the 90-day window; our target for financing close is February 15th.</w:t>
      </w:r>
    </w:p>
    <w:p>
      <w:pPr>
        <w:spacing w:after="20" w:before="0"/>
      </w:pPr>
      <w:r>
        <w:rPr>
          <w:b/>
          <w:i w:val="0"/>
          <w:sz w:val="21"/>
        </w:rPr>
        <w:t>John M. Quinn</w:t>
      </w:r>
    </w:p>
    <w:p>
      <w:pPr>
        <w:spacing w:after="20" w:before="0"/>
      </w:pPr>
      <w:r>
        <w:rPr>
          <w:b w:val="0"/>
          <w:i w:val="0"/>
          <w:sz w:val="21"/>
        </w:rPr>
        <w:t>Cofounder &amp; CEO, Exos Aerospace Systems &amp; Technologies, Inc.</w:t>
      </w:r>
    </w:p>
    <w:p>
      <w:pPr>
        <w:spacing w:after="160" w:before="0"/>
      </w:pPr>
    </w:p>
    <w:p>
      <w:pPr>
        <w:spacing w:after="40" w:before="0"/>
      </w:pPr>
      <w:r>
        <w:rPr>
          <w:b w:val="0"/>
          <w:i/>
          <w:color w:val="606060"/>
          <w:sz w:val="16"/>
        </w:rPr>
        <w:t>Detail in model: EXOS_SSLC_OptionB_Acquisition_Model_2026-10-07.xlsx  ·  Offer summary: Exos_SSLC_OptionB_Offer_Summary_2026-10-07.pdf  ·  MC task: #2414</w:t>
      </w:r>
    </w:p>
    <w:p>
      <w:pPr>
        <w:spacing w:after="0" w:before="0"/>
        <w:jc w:val="center"/>
      </w:pPr>
      <w:r>
        <w:rPr>
          <w:b/>
          <w:i w:val="0"/>
          <w:color w:val="C00000"/>
          <w:sz w:val="16"/>
        </w:rPr>
        <w:t>DRAFT — INTERNAL — NEGOTIATING TERMS — NOT SENT — John Quinn, CEO, Exos Aerospace — 2026-10-09</w:t>
      </w:r>
    </w:p>
    <w:sectPr w:rsidR="00D02269" w:rsidRPr="007C623E" w:rsidSect="006E0F85">
      <w:headerReference w:type="default" r:id="rId12"/>
      <w:footerReference w:type="default" r:id="rId14"/>
      <w:pgSz w:w="12240" w:h="15840"/>
      <w:pgMar w:top="1584" w:right="576" w:bottom="151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