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040"/>
        <w:gridCol w:w="5040"/>
      </w:tblGrid>
      <w:tr>
        <w:tc>
          <w:tcPr>
            <w:tcW w:type="dxa" w:w="3600"/>
            <w:tcBorders>
              <w:top w:val="none" w:sz="0" w:space="0"/>
              <w:left w:val="none" w:sz="0" w:space="0"/>
              <w:bottom w:val="none" w:sz="0" w:space="0"/>
              <w:right w:val="none" w:sz="0" w:space="0"/>
            </w:tcBorders>
          </w:tcPr>
          <w:p>
            <w:pPr>
              <w:jc w:val="left"/>
            </w:pPr>
            <w:r>
              <w:drawing>
                <wp:inline xmlns:a="http://schemas.openxmlformats.org/drawingml/2006/main" xmlns:pic="http://schemas.openxmlformats.org/drawingml/2006/picture">
                  <wp:extent cx="2011680" cy="1991762"/>
                  <wp:docPr id="1" name="Picture 1"/>
                  <wp:cNvGraphicFramePr>
                    <a:graphicFrameLocks noChangeAspect="1"/>
                  </wp:cNvGraphicFramePr>
                  <a:graphic>
                    <a:graphicData uri="http://schemas.openxmlformats.org/drawingml/2006/picture">
                      <pic:pic>
                        <pic:nvPicPr>
                          <pic:cNvPr id="0" name="ExosLogo_transparent.png"/>
                          <pic:cNvPicPr/>
                        </pic:nvPicPr>
                        <pic:blipFill>
                          <a:blip r:embed="rId9"/>
                          <a:stretch>
                            <a:fillRect/>
                          </a:stretch>
                        </pic:blipFill>
                        <pic:spPr>
                          <a:xfrm>
                            <a:off x="0" y="0"/>
                            <a:ext cx="2011680" cy="1991762"/>
                          </a:xfrm>
                          <a:prstGeom prst="rect"/>
                        </pic:spPr>
                      </pic:pic>
                    </a:graphicData>
                  </a:graphic>
                </wp:inline>
              </w:drawing>
            </w:r>
          </w:p>
        </w:tc>
        <w:tc>
          <w:tcPr>
            <w:tcW w:type="dxa" w:w="6480"/>
            <w:tcBorders>
              <w:top w:val="none" w:sz="0" w:space="0"/>
              <w:left w:val="none" w:sz="0" w:space="0"/>
              <w:bottom w:val="none" w:sz="0" w:space="0"/>
              <w:right w:val="none" w:sz="0" w:space="0"/>
            </w:tcBorders>
          </w:tcPr>
          <w:p>
            <w:pPr>
              <w:jc w:val="right"/>
            </w:pPr>
            <w:r>
              <w:rPr>
                <w:rFonts w:ascii="Calibri" w:hAnsi="Calibri"/>
                <w:b/>
                <w:color w:val="0A1A3A"/>
                <w:sz w:val="18"/>
              </w:rPr>
              <w:t>Exos Aerospace Systems &amp; Technologies, Inc.</w:t>
            </w:r>
            <w:r>
              <w:rPr>
                <w:rFonts w:ascii="Calibri" w:hAnsi="Calibri"/>
                <w:b w:val="0"/>
                <w:color w:val="666666"/>
                <w:sz w:val="16"/>
              </w:rPr>
              <w:br/>
              <w:t>299 FM 1903 | Greenville, TX 75402</w:t>
            </w:r>
            <w:r>
              <w:rPr>
                <w:rFonts w:ascii="Calibri" w:hAnsi="Calibri"/>
                <w:b w:val="0"/>
                <w:color w:val="007ACC"/>
                <w:sz w:val="16"/>
              </w:rPr>
              <w:br/>
              <w:t>www.exosaero.com | jquinn@exosaero.com</w:t>
            </w:r>
            <w:r>
              <w:rPr>
                <w:rFonts w:ascii="Calibri" w:hAnsi="Calibri"/>
                <w:b w:val="0"/>
                <w:color w:val="666666"/>
                <w:sz w:val="16"/>
              </w:rPr>
              <w:br/>
              <w:t>CAGE: [insert] | UEI: [insert]</w:t>
            </w:r>
            <w:r>
              <w:rPr>
                <w:rFonts w:ascii="Calibri" w:hAnsi="Calibri"/>
                <w:b w:val="0"/>
                <w:color w:val="666666"/>
                <w:sz w:val="16"/>
              </w:rPr>
              <w:br/>
              <w:t>NAICS: 336414 | 481212</w:t>
            </w:r>
          </w:p>
        </w:tc>
      </w:tr>
    </w:tbl>
    <w:tbl>
      <w:tblPr>
        <w:tblW w:type="auto" w:w="0"/>
        <w:jc w:val="center"/>
        <w:tblLook w:firstColumn="1" w:firstRow="1" w:lastColumn="0" w:lastRow="0" w:noHBand="0" w:noVBand="1" w:val="04A0"/>
      </w:tblPr>
      <w:tblGrid>
        <w:gridCol w:w="10080"/>
      </w:tblGrid>
      <w:tr>
        <w:tc>
          <w:tcPr>
            <w:tcW w:type="dxa" w:w="10080"/>
            <w:shd w:fill="007ACC" w:val="clear"/>
          </w:tcPr>
          <w:p>
            <w:r>
              <w:rPr>
                <w:sz w:val="4"/>
              </w:rPr>
            </w:r>
          </w:p>
        </w:tc>
      </w:tr>
    </w:tbl>
    <w:p/>
    <w:p>
      <w:pPr>
        <w:jc w:val="center"/>
      </w:pPr>
      <w:r>
        <w:rPr>
          <w:rFonts w:ascii="Calibri" w:hAnsi="Calibri"/>
          <w:b/>
          <w:color w:val="0A1A3A"/>
          <w:sz w:val="36"/>
        </w:rPr>
        <w:t>ROTATING DETONATION ROCKET ENGINE (RDRE)</w:t>
      </w:r>
    </w:p>
    <w:p>
      <w:pPr>
        <w:jc w:val="center"/>
      </w:pPr>
      <w:r>
        <w:rPr>
          <w:rFonts w:ascii="Calibri" w:hAnsi="Calibri"/>
          <w:b/>
          <w:color w:val="007ACC"/>
          <w:sz w:val="24"/>
        </w:rPr>
        <w:t>FLIGHT DEMONSTRATION CAPABILITY STATEMENT</w:t>
      </w:r>
    </w:p>
    <w:p>
      <w:pPr>
        <w:jc w:val="center"/>
      </w:pPr>
      <w:r>
        <w:rPr>
          <w:rFonts w:ascii="Calibri" w:hAnsi="Calibri"/>
          <w:i/>
          <w:color w:val="666666"/>
          <w:sz w:val="16"/>
        </w:rPr>
        <w:t>COMPANY CONFIDENTIAL — April 2026</w:t>
      </w:r>
    </w:p>
    <w:tbl>
      <w:tblPr>
        <w:tblW w:type="auto" w:w="0"/>
        <w:jc w:val="center"/>
        <w:tblLook w:firstColumn="1" w:firstRow="1" w:lastColumn="0" w:lastRow="0" w:noHBand="0" w:noVBand="1" w:val="04A0"/>
      </w:tblPr>
      <w:tblGrid>
        <w:gridCol w:w="10080"/>
      </w:tblGrid>
      <w:tr>
        <w:tc>
          <w:tcPr>
            <w:tcW w:type="dxa" w:w="10080"/>
            <w:shd w:fill="0A1A3A" w:val="clear"/>
          </w:tcPr>
          <w:p>
            <w:r>
              <w:rPr>
                <w:sz w:val="2"/>
              </w:rPr>
            </w:r>
          </w:p>
        </w:tc>
      </w:tr>
    </w:tbl>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COMPANY OVERVIEW</w:t>
            </w:r>
          </w:p>
        </w:tc>
      </w:tr>
    </w:tbl>
    <w:p>
      <w:pPr>
        <w:jc w:val="left"/>
      </w:pPr>
      <w:r>
        <w:rPr>
          <w:rFonts w:ascii="Calibri" w:hAnsi="Calibri"/>
          <w:b w:val="0"/>
          <w:color w:val="333333"/>
          <w:sz w:val="20"/>
        </w:rPr>
        <w:t>Exos Aerospace is one of only three U.S.-licensed reusable suborbital launch vehicle (RLV) operators. We develop, operate, and fly the BLK3 — a reusable, partially recoverable suborbital launch vehicle designed for rapid-cadence payload delivery to 100 km altitude.</w:t>
      </w:r>
    </w:p>
    <w:p>
      <w:pPr>
        <w:jc w:val="left"/>
      </w:pPr>
      <w:r>
        <w:rPr>
          <w:rFonts w:ascii="Calibri" w:hAnsi="Calibri"/>
          <w:b w:val="0"/>
          <w:color w:val="333333"/>
          <w:sz w:val="20"/>
        </w:rPr>
        <w:t>Exos holds an active FAA reusable launch vehicle license (14 CFR Part 431, renewed March 13, 2026; transitioning to Part 450) and operates from Spaceport America, New Mexico. Through our subsidiary Scorpius Space Launch Company, we hold the only TRL 9 Type 5 cryogenic propellant storage technology demonstrated on the lunar surface, flying on both Intuitive Machines Odysseus and Athena moon missions.</w:t>
      </w:r>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NASA SPACE ACT AGREEMENT — RDRE TECHNOLOGY</w:t>
            </w:r>
          </w:p>
        </w:tc>
      </w:tr>
    </w:tbl>
    <w:p>
      <w:pPr>
        <w:jc w:val="left"/>
      </w:pPr>
      <w:r>
        <w:rPr>
          <w:rFonts w:ascii="Calibri" w:hAnsi="Calibri"/>
          <w:b w:val="0"/>
          <w:color w:val="333333"/>
          <w:sz w:val="20"/>
        </w:rPr>
        <w:t>Exos holds an active NASA Data Usage Agreement (a type of Space Act Agreement) specifically covering Rotating Detonation Rocket Engine technology development, executed with NASA Marshall Space Flight Center (MSFC). This agreement establishes Exos as a formal NASA industry partner for RDRE technology maturation and provides access to NASA RDRE technical data as a design foundation for Exos's engine development.</w:t>
      </w:r>
    </w:p>
    <w:p>
      <w:pPr>
        <w:jc w:val="left"/>
      </w:pPr>
      <w:r>
        <w:rPr>
          <w:rFonts w:ascii="Calibri" w:hAnsi="Calibri"/>
          <w:b w:val="0"/>
          <w:color w:val="333333"/>
          <w:sz w:val="20"/>
        </w:rPr>
        <w:t>The agreement positions Exos within NASA's broader RDRE development ecosystem, which includes the INRODES (Integrated RDRE Optimization, Design, and Engineering for Spaceflight) Technology Demonstration Mission, managed under NASA's Game Changing Development Program within the Space Technology Mission Directorate (STMD).</w:t>
      </w:r>
    </w:p>
    <w:p>
      <w:pPr>
        <w:jc w:val="left"/>
      </w:pPr>
      <w:r>
        <w:rPr>
          <w:rFonts w:ascii="Calibri" w:hAnsi="Calibri"/>
          <w:b/>
          <w:color w:val="333333"/>
          <w:sz w:val="20"/>
        </w:rPr>
        <w:t>Key NASA RDRE Milestones:</w:t>
      </w:r>
    </w:p>
    <w:p>
      <w:pPr>
        <w:pStyle w:val="ListBullet"/>
      </w:pPr>
      <w:r>
        <w:rPr>
          <w:rFonts w:ascii="Calibri" w:hAnsi="Calibri"/>
          <w:color w:val="333333"/>
          <w:sz w:val="20"/>
        </w:rPr>
        <w:t>December 2023: NASA MSFC demonstrated a full-scale RDRE — 251 seconds continuous operation, 5,800 lbf thrust</w:t>
      </w:r>
    </w:p>
    <w:p>
      <w:pPr>
        <w:pStyle w:val="ListBullet"/>
      </w:pPr>
      <w:r>
        <w:rPr>
          <w:rFonts w:ascii="Calibri" w:hAnsi="Calibri"/>
          <w:color w:val="333333"/>
          <w:sz w:val="20"/>
        </w:rPr>
        <w:t>INRODES Phase 1: Hardware fabrication underway (AME, ~$248K); targeting turbopump-integrated 10,000 lbf system</w:t>
      </w:r>
    </w:p>
    <w:p>
      <w:pPr>
        <w:pStyle w:val="ListBullet"/>
      </w:pPr>
      <w:r>
        <w:rPr>
          <w:rFonts w:ascii="Calibri" w:hAnsi="Calibri"/>
          <w:color w:val="333333"/>
          <w:sz w:val="20"/>
        </w:rPr>
        <w:t>Flight demonstration anticipated as the next major program milestone following ground test maturation</w:t>
      </w:r>
    </w:p>
    <w:p>
      <w:pPr>
        <w:jc w:val="left"/>
      </w:pPr>
      <w:r>
        <w:rPr>
          <w:rFonts w:ascii="Calibri" w:hAnsi="Calibri"/>
          <w:b w:val="0"/>
          <w:color w:val="333333"/>
          <w:sz w:val="20"/>
        </w:rPr>
        <w:t>Exos's NASA DUA creates multiple contracting pathways including SBIR Phase III sole-source, task orders under existing agreements, and cooperative research arrangements.</w:t>
      </w:r>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RDRE DEVELOPMENT PROGRAM</w:t>
            </w:r>
          </w:p>
        </w:tc>
      </w:tr>
    </w:tbl>
    <w:p>
      <w:pPr>
        <w:jc w:val="left"/>
      </w:pPr>
      <w:r>
        <w:rPr>
          <w:rFonts w:ascii="Calibri" w:hAnsi="Calibri"/>
          <w:b w:val="0"/>
          <w:color w:val="333333"/>
          <w:sz w:val="20"/>
        </w:rPr>
        <w:t>Exos maintains an active internal RDRE development program aligned with NASA MSFC's INRODES roadmap and the broader DoD advanced propulsion technology base. Our development leverages NASA RDRE technical data received under the DUA as the design foundation.</w:t>
      </w:r>
    </w:p>
    <w:p>
      <w:pPr>
        <w:jc w:val="left"/>
      </w:pPr>
      <w:r>
        <w:rPr>
          <w:rFonts w:ascii="Calibri" w:hAnsi="Calibri"/>
          <w:b w:val="0"/>
          <w:color w:val="333333"/>
          <w:sz w:val="20"/>
        </w:rPr>
        <w:t>Additionally, Exos holds an active USAF contract to build the High Velocity Research Rocket (HVRR) — a test vehicle intended to fly a small RDRE, providing a direct government-funded pathway to RDRE flight demonstration.</w:t>
      </w:r>
    </w:p>
    <w:p>
      <w:pPr>
        <w:jc w:val="left"/>
      </w:pPr>
      <w:r>
        <w:rPr>
          <w:rFonts w:ascii="Calibri" w:hAnsi="Calibri"/>
          <w:b/>
          <w:color w:val="333333"/>
          <w:sz w:val="20"/>
        </w:rPr>
        <w:t>Key Differentiators:</w:t>
      </w:r>
    </w:p>
    <w:p>
      <w:pPr>
        <w:pStyle w:val="ListBullet"/>
      </w:pPr>
      <w:r>
        <w:rPr>
          <w:rFonts w:ascii="Calibri" w:hAnsi="Calibri"/>
          <w:color w:val="333333"/>
          <w:sz w:val="20"/>
        </w:rPr>
        <w:t>One of the few commercial entities with a NASA Space Act Agreement specifically covering RDRE technology</w:t>
      </w:r>
    </w:p>
    <w:p>
      <w:pPr>
        <w:pStyle w:val="ListBullet"/>
      </w:pPr>
      <w:r>
        <w:rPr>
          <w:rFonts w:ascii="Calibri" w:hAnsi="Calibri"/>
          <w:color w:val="333333"/>
          <w:sz w:val="20"/>
        </w:rPr>
        <w:t>Internal RDRE development program with NASA technical data as design baseline</w:t>
      </w:r>
    </w:p>
    <w:p>
      <w:pPr>
        <w:pStyle w:val="ListBullet"/>
      </w:pPr>
      <w:r>
        <w:rPr>
          <w:rFonts w:ascii="Calibri" w:hAnsi="Calibri"/>
          <w:color w:val="333333"/>
          <w:sz w:val="20"/>
        </w:rPr>
        <w:t>Active USAF HVRR contract providing government-funded RDRE flight demo pathway</w:t>
      </w:r>
    </w:p>
    <w:p>
      <w:pPr>
        <w:pStyle w:val="ListBullet"/>
      </w:pPr>
      <w:r>
        <w:rPr>
          <w:rFonts w:ascii="Calibri" w:hAnsi="Calibri"/>
          <w:color w:val="333333"/>
          <w:sz w:val="20"/>
        </w:rPr>
        <w:t>Existing flight heritage through NASA REDDI program (SARGE platform)</w:t>
      </w:r>
    </w:p>
    <w:p>
      <w:pPr>
        <w:pStyle w:val="ListBullet"/>
      </w:pPr>
      <w:r>
        <w:rPr>
          <w:rFonts w:ascii="Calibri" w:hAnsi="Calibri"/>
          <w:color w:val="333333"/>
          <w:sz w:val="20"/>
        </w:rPr>
        <w:t>ITAR-compliant manufacturing and operations; active CAGE and SAM.gov registration</w:t>
      </w:r>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BLK3 — FLIGHT DEMONSTRATION PLATFORM</w:t>
            </w:r>
          </w:p>
        </w:tc>
      </w:tr>
    </w:tbl>
    <w:p/>
    <w:tbl>
      <w:tblPr>
        <w:tblW w:type="auto" w:w="0"/>
        <w:jc w:val="center"/>
        <w:tblLook w:firstColumn="1" w:firstRow="1" w:lastColumn="0" w:lastRow="0" w:noHBand="0" w:noVBand="1" w:val="04A0"/>
      </w:tblPr>
      <w:tblGrid>
        <w:gridCol w:w="5040"/>
        <w:gridCol w:w="5040"/>
      </w:tblGrid>
      <w:tr>
        <w:tc>
          <w:tcPr>
            <w:tcW w:type="dxa" w:w="3600"/>
            <w:shd w:fill="0A1A3A" w:val="clear"/>
            <w:tcMar>
              <w:left w:w="100" w:type="dxa"/>
              <w:right w:w="100" w:type="dxa"/>
            </w:tcMar>
          </w:tcPr>
          <w:p>
            <w:r>
              <w:rPr>
                <w:rFonts w:ascii="Calibri" w:hAnsi="Calibri"/>
                <w:b/>
                <w:color w:val="FFFFFF"/>
                <w:sz w:val="18"/>
              </w:rPr>
              <w:t>CAPABILITY</w:t>
            </w:r>
          </w:p>
        </w:tc>
        <w:tc>
          <w:tcPr>
            <w:tcW w:type="dxa" w:w="6480"/>
            <w:shd w:fill="0A1A3A" w:val="clear"/>
            <w:tcMar>
              <w:left w:w="100" w:type="dxa"/>
              <w:right w:w="100" w:type="dxa"/>
            </w:tcMar>
          </w:tcPr>
          <w:p>
            <w:r>
              <w:rPr>
                <w:rFonts w:ascii="Calibri" w:hAnsi="Calibri"/>
                <w:b/>
                <w:color w:val="FFFFFF"/>
                <w:sz w:val="18"/>
              </w:rPr>
              <w:t>SPECIFICATION</w:t>
            </w:r>
          </w:p>
        </w:tc>
      </w:tr>
      <w:tr>
        <w:tc>
          <w:tcPr>
            <w:tcW w:type="dxa" w:w="3600"/>
            <w:tcMar>
              <w:left w:w="100" w:type="dxa"/>
              <w:right w:w="100" w:type="dxa"/>
            </w:tcMar>
          </w:tcPr>
          <w:p>
            <w:r>
              <w:rPr>
                <w:rFonts w:ascii="Calibri" w:hAnsi="Calibri"/>
                <w:b/>
                <w:color w:val="333333"/>
                <w:sz w:val="18"/>
              </w:rPr>
              <w:t>Payload to 100 km</w:t>
            </w:r>
          </w:p>
        </w:tc>
        <w:tc>
          <w:tcPr>
            <w:tcW w:type="dxa" w:w="6480"/>
            <w:tcMar>
              <w:left w:w="100" w:type="dxa"/>
              <w:right w:w="100" w:type="dxa"/>
            </w:tcMar>
          </w:tcPr>
          <w:p>
            <w:r>
              <w:rPr>
                <w:rFonts w:ascii="Calibri" w:hAnsi="Calibri"/>
                <w:color w:val="333333"/>
                <w:sz w:val="18"/>
              </w:rPr>
              <w:t>135 kg</w:t>
            </w:r>
          </w:p>
        </w:tc>
      </w:tr>
      <w:tr>
        <w:tc>
          <w:tcPr>
            <w:tcW w:type="dxa" w:w="3600"/>
            <w:shd w:fill="F0F4F8" w:val="clear"/>
            <w:tcMar>
              <w:left w:w="100" w:type="dxa"/>
              <w:right w:w="100" w:type="dxa"/>
            </w:tcMar>
          </w:tcPr>
          <w:p>
            <w:r>
              <w:rPr>
                <w:rFonts w:ascii="Calibri" w:hAnsi="Calibri"/>
                <w:b/>
                <w:color w:val="333333"/>
                <w:sz w:val="18"/>
              </w:rPr>
              <w:t>Altitude</w:t>
            </w:r>
          </w:p>
        </w:tc>
        <w:tc>
          <w:tcPr>
            <w:tcW w:type="dxa" w:w="6480"/>
            <w:shd w:fill="F0F4F8" w:val="clear"/>
            <w:tcMar>
              <w:left w:w="100" w:type="dxa"/>
              <w:right w:w="100" w:type="dxa"/>
            </w:tcMar>
          </w:tcPr>
          <w:p>
            <w:r>
              <w:rPr>
                <w:rFonts w:ascii="Calibri" w:hAnsi="Calibri"/>
                <w:color w:val="333333"/>
                <w:sz w:val="18"/>
              </w:rPr>
              <w:t>100 km (Kármán line)</w:t>
            </w:r>
          </w:p>
        </w:tc>
      </w:tr>
      <w:tr>
        <w:tc>
          <w:tcPr>
            <w:tcW w:type="dxa" w:w="3600"/>
            <w:tcMar>
              <w:left w:w="100" w:type="dxa"/>
              <w:right w:w="100" w:type="dxa"/>
            </w:tcMar>
          </w:tcPr>
          <w:p>
            <w:r>
              <w:rPr>
                <w:rFonts w:ascii="Calibri" w:hAnsi="Calibri"/>
                <w:b/>
                <w:color w:val="333333"/>
                <w:sz w:val="18"/>
              </w:rPr>
              <w:t>Vehicle Type</w:t>
            </w:r>
          </w:p>
        </w:tc>
        <w:tc>
          <w:tcPr>
            <w:tcW w:type="dxa" w:w="6480"/>
            <w:tcMar>
              <w:left w:w="100" w:type="dxa"/>
              <w:right w:w="100" w:type="dxa"/>
            </w:tcMar>
          </w:tcPr>
          <w:p>
            <w:r>
              <w:rPr>
                <w:rFonts w:ascii="Calibri" w:hAnsi="Calibri"/>
                <w:color w:val="333333"/>
                <w:sz w:val="18"/>
              </w:rPr>
              <w:t>Reusable suborbital RLV</w:t>
            </w:r>
          </w:p>
        </w:tc>
      </w:tr>
      <w:tr>
        <w:tc>
          <w:tcPr>
            <w:tcW w:type="dxa" w:w="3600"/>
            <w:shd w:fill="F0F4F8" w:val="clear"/>
            <w:tcMar>
              <w:left w:w="100" w:type="dxa"/>
              <w:right w:w="100" w:type="dxa"/>
            </w:tcMar>
          </w:tcPr>
          <w:p>
            <w:r>
              <w:rPr>
                <w:rFonts w:ascii="Calibri" w:hAnsi="Calibri"/>
                <w:b/>
                <w:color w:val="333333"/>
                <w:sz w:val="18"/>
              </w:rPr>
              <w:t>FAA License</w:t>
            </w:r>
          </w:p>
        </w:tc>
        <w:tc>
          <w:tcPr>
            <w:tcW w:type="dxa" w:w="6480"/>
            <w:shd w:fill="F0F4F8" w:val="clear"/>
            <w:tcMar>
              <w:left w:w="100" w:type="dxa"/>
              <w:right w:w="100" w:type="dxa"/>
            </w:tcMar>
          </w:tcPr>
          <w:p>
            <w:r>
              <w:rPr>
                <w:rFonts w:ascii="Calibri" w:hAnsi="Calibri"/>
                <w:color w:val="333333"/>
                <w:sz w:val="18"/>
              </w:rPr>
              <w:t>Part 431 (transitioning to Part 450) — Renewed March 13, 2026</w:t>
            </w:r>
          </w:p>
        </w:tc>
      </w:tr>
      <w:tr>
        <w:tc>
          <w:tcPr>
            <w:tcW w:type="dxa" w:w="3600"/>
            <w:tcMar>
              <w:left w:w="100" w:type="dxa"/>
              <w:right w:w="100" w:type="dxa"/>
            </w:tcMar>
          </w:tcPr>
          <w:p>
            <w:r>
              <w:rPr>
                <w:rFonts w:ascii="Calibri" w:hAnsi="Calibri"/>
                <w:b/>
                <w:color w:val="333333"/>
                <w:sz w:val="18"/>
              </w:rPr>
              <w:t>Flight Cadence</w:t>
            </w:r>
          </w:p>
        </w:tc>
        <w:tc>
          <w:tcPr>
            <w:tcW w:type="dxa" w:w="6480"/>
            <w:tcMar>
              <w:left w:w="100" w:type="dxa"/>
              <w:right w:w="100" w:type="dxa"/>
            </w:tcMar>
          </w:tcPr>
          <w:p>
            <w:r>
              <w:rPr>
                <w:rFonts w:ascii="Calibri" w:hAnsi="Calibri"/>
                <w:color w:val="333333"/>
                <w:sz w:val="18"/>
              </w:rPr>
              <w:t>Multiple flights per quarter</w:t>
            </w:r>
          </w:p>
        </w:tc>
      </w:tr>
      <w:tr>
        <w:tc>
          <w:tcPr>
            <w:tcW w:type="dxa" w:w="3600"/>
            <w:shd w:fill="F0F4F8" w:val="clear"/>
            <w:tcMar>
              <w:left w:w="100" w:type="dxa"/>
              <w:right w:w="100" w:type="dxa"/>
            </w:tcMar>
          </w:tcPr>
          <w:p>
            <w:r>
              <w:rPr>
                <w:rFonts w:ascii="Calibri" w:hAnsi="Calibri"/>
                <w:b/>
                <w:color w:val="333333"/>
                <w:sz w:val="18"/>
              </w:rPr>
              <w:t>Turnaround</w:t>
            </w:r>
          </w:p>
        </w:tc>
        <w:tc>
          <w:tcPr>
            <w:tcW w:type="dxa" w:w="6480"/>
            <w:shd w:fill="F0F4F8" w:val="clear"/>
            <w:tcMar>
              <w:left w:w="100" w:type="dxa"/>
              <w:right w:w="100" w:type="dxa"/>
            </w:tcMar>
          </w:tcPr>
          <w:p>
            <w:r>
              <w:rPr>
                <w:rFonts w:ascii="Calibri" w:hAnsi="Calibri"/>
                <w:color w:val="333333"/>
                <w:sz w:val="18"/>
              </w:rPr>
              <w:t>~1 week between flights</w:t>
            </w:r>
          </w:p>
        </w:tc>
      </w:tr>
      <w:tr>
        <w:tc>
          <w:tcPr>
            <w:tcW w:type="dxa" w:w="3600"/>
            <w:tcMar>
              <w:left w:w="100" w:type="dxa"/>
              <w:right w:w="100" w:type="dxa"/>
            </w:tcMar>
          </w:tcPr>
          <w:p>
            <w:r>
              <w:rPr>
                <w:rFonts w:ascii="Calibri" w:hAnsi="Calibri"/>
                <w:b/>
                <w:color w:val="333333"/>
                <w:sz w:val="18"/>
              </w:rPr>
              <w:t>Pathfinder Flight</w:t>
            </w:r>
          </w:p>
        </w:tc>
        <w:tc>
          <w:tcPr>
            <w:tcW w:type="dxa" w:w="6480"/>
            <w:tcMar>
              <w:left w:w="100" w:type="dxa"/>
              <w:right w:w="100" w:type="dxa"/>
            </w:tcMar>
          </w:tcPr>
          <w:p>
            <w:r>
              <w:rPr>
                <w:rFonts w:ascii="Calibri" w:hAnsi="Calibri"/>
                <w:color w:val="333333"/>
                <w:sz w:val="18"/>
              </w:rPr>
              <w:t>Q1–Q2 2027</w:t>
            </w:r>
          </w:p>
        </w:tc>
      </w:tr>
    </w:tbl>
    <w:p>
      <w:pPr>
        <w:jc w:val="left"/>
      </w:pPr>
      <w:r>
        <w:rPr>
          <w:rFonts w:ascii="Calibri" w:hAnsi="Calibri"/>
          <w:b w:val="0"/>
          <w:color w:val="333333"/>
          <w:sz w:val="20"/>
        </w:rPr>
        <w:t>BLK3 supports staggered flight campaigns enabling rapid hardware iteration in the actual flight environment — thermal loads, vibration profiles, dynamic pressure, and microgravity exposure that ground testing cannot replicate.</w:t>
      </w:r>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VALUE PROPOSITION FOR PRIME CONTRACTORS</w:t>
            </w:r>
          </w:p>
        </w:tc>
      </w:tr>
    </w:tbl>
    <w:p>
      <w:r>
        <w:rPr>
          <w:rFonts w:ascii="Calibri" w:hAnsi="Calibri"/>
          <w:b/>
          <w:color w:val="007ACC"/>
          <w:sz w:val="20"/>
        </w:rPr>
        <w:t xml:space="preserve">▸ Flight Environment Validation — </w:t>
      </w:r>
      <w:r>
        <w:rPr>
          <w:rFonts w:ascii="Calibri" w:hAnsi="Calibri"/>
          <w:color w:val="333333"/>
          <w:sz w:val="19"/>
        </w:rPr>
        <w:t>Ground testing validates design; flight testing validates the weapon. BLK3 provides real flight loads, thermal environments, and dynamic pressures for advanced propulsion hardware without building a dedicated flight test vehicle.</w:t>
      </w:r>
    </w:p>
    <w:p>
      <w:r>
        <w:rPr>
          <w:rFonts w:ascii="Calibri" w:hAnsi="Calibri"/>
          <w:b/>
          <w:color w:val="007ACC"/>
          <w:sz w:val="20"/>
        </w:rPr>
        <w:t xml:space="preserve">▸ Rapid Iteration at Flight Scale — </w:t>
      </w:r>
      <w:r>
        <w:rPr>
          <w:rFonts w:ascii="Calibri" w:hAnsi="Calibri"/>
          <w:color w:val="333333"/>
          <w:sz w:val="19"/>
        </w:rPr>
        <w:t>Same design-build-test cadence your team uses in additive manufacturing, extended to the flight domain. Hardware can be modified between flights based on real flight data, not ground test extrapolations.</w:t>
      </w:r>
    </w:p>
    <w:p>
      <w:r>
        <w:rPr>
          <w:rFonts w:ascii="Calibri" w:hAnsi="Calibri"/>
          <w:b/>
          <w:color w:val="007ACC"/>
          <w:sz w:val="20"/>
        </w:rPr>
        <w:t xml:space="preserve">▸ Affordable Risk Reduction — </w:t>
      </w:r>
      <w:r>
        <w:rPr>
          <w:rFonts w:ascii="Calibri" w:hAnsi="Calibri"/>
          <w:color w:val="333333"/>
          <w:sz w:val="19"/>
        </w:rPr>
        <w:t>Reusable platform dramatically reduces per-flight cost versus expendable alternatives. Fly early-stage or high-risk prototypes without financial exposure of a dedicated expendable vehicle.</w:t>
      </w:r>
    </w:p>
    <w:p>
      <w:r>
        <w:rPr>
          <w:rFonts w:ascii="Calibri" w:hAnsi="Calibri"/>
          <w:b/>
          <w:color w:val="007ACC"/>
          <w:sz w:val="20"/>
        </w:rPr>
        <w:t xml:space="preserve">▸ Established Government Relationships — </w:t>
      </w:r>
      <w:r>
        <w:rPr>
          <w:rFonts w:ascii="Calibri" w:hAnsi="Calibri"/>
          <w:color w:val="333333"/>
          <w:sz w:val="19"/>
        </w:rPr>
        <w:t>Active NASA DUA, USAF HVRR contract, and SBIR heritage provide multiple contracting pathways: subcontract under existing prime contracts, OTA through AFWERX/SpaceWERX, SBIR Phase III sole-source, or direct test services agreement.</w:t>
      </w:r>
    </w:p>
    <w:p>
      <w:r>
        <w:rPr>
          <w:rFonts w:ascii="Calibri" w:hAnsi="Calibri"/>
          <w:b/>
          <w:color w:val="007ACC"/>
          <w:sz w:val="20"/>
        </w:rPr>
        <w:t xml:space="preserve">▸ APAC IDIQ Alignment — </w:t>
      </w:r>
      <w:r>
        <w:rPr>
          <w:rFonts w:ascii="Calibri" w:hAnsi="Calibri"/>
          <w:color w:val="333333"/>
          <w:sz w:val="19"/>
        </w:rPr>
        <w:t>The AFLCMC Advanced Propulsion Acquisition Contract (FA862626RB002) is a $16B, 15-year vehicle purpose-built for advanced propulsion T&amp;E. Exos provides a ready-made flight test capability for APAC task orders involving rotating detonation or novel propulsion concepts.</w:t>
      </w:r>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COMPETITIVE LANDSCAPE</w:t>
            </w:r>
          </w:p>
        </w:tc>
      </w:tr>
    </w:tbl>
    <w:p>
      <w:pPr>
        <w:jc w:val="left"/>
      </w:pPr>
      <w:r>
        <w:rPr>
          <w:rFonts w:ascii="Calibri" w:hAnsi="Calibri"/>
          <w:b w:val="0"/>
          <w:color w:val="333333"/>
          <w:sz w:val="20"/>
        </w:rPr>
        <w:t>The RDE/RDRE flight demonstration space is accelerating:</w:t>
      </w:r>
    </w:p>
    <w:p>
      <w:pPr>
        <w:pStyle w:val="ListBullet"/>
      </w:pPr>
      <w:r>
        <w:rPr>
          <w:rFonts w:ascii="Calibri" w:hAnsi="Calibri"/>
          <w:color w:val="333333"/>
          <w:sz w:val="18"/>
        </w:rPr>
        <w:t>Venus Aerospace — completed first high-thrust RDRE flight test (May 2025)</w:t>
      </w:r>
    </w:p>
    <w:p>
      <w:pPr>
        <w:pStyle w:val="ListBullet"/>
      </w:pPr>
      <w:r>
        <w:rPr>
          <w:rFonts w:ascii="Calibri" w:hAnsi="Calibri"/>
          <w:color w:val="333333"/>
          <w:sz w:val="18"/>
        </w:rPr>
        <w:t>Juno Propulsion — NASA-funded orbital RDRE demo on Momentus Vigoride (2026)</w:t>
      </w:r>
    </w:p>
    <w:p>
      <w:pPr>
        <w:pStyle w:val="ListBullet"/>
      </w:pPr>
      <w:r>
        <w:rPr>
          <w:rFonts w:ascii="Calibri" w:hAnsi="Calibri"/>
          <w:color w:val="333333"/>
          <w:sz w:val="18"/>
        </w:rPr>
        <w:t>JAXA consortium (Nagoya University et al.) — targeting RDRE launch (November 2027)</w:t>
      </w:r>
    </w:p>
    <w:p>
      <w:pPr>
        <w:pStyle w:val="ListBullet"/>
      </w:pPr>
      <w:r>
        <w:rPr>
          <w:rFonts w:ascii="Calibri" w:hAnsi="Calibri"/>
          <w:color w:val="333333"/>
          <w:sz w:val="18"/>
        </w:rPr>
        <w:t>RTX / Pratt &amp; Whitney — completed RDE ground testing (March 2025); investing in integrated vehicle testing</w:t>
      </w:r>
    </w:p>
    <w:p>
      <w:pPr>
        <w:pStyle w:val="ListBullet"/>
      </w:pPr>
      <w:r>
        <w:rPr>
          <w:rFonts w:ascii="Calibri" w:hAnsi="Calibri"/>
          <w:color w:val="333333"/>
          <w:sz w:val="18"/>
        </w:rPr>
        <w:t>GE Aerospace — demonstrated two RDC ramjets (September 2025) and RDC ramjet with Lockheed Martin (January 2026)</w:t>
      </w:r>
    </w:p>
    <w:p>
      <w:pPr>
        <w:jc w:val="left"/>
      </w:pPr>
      <w:r>
        <w:rPr>
          <w:rFonts w:ascii="Calibri" w:hAnsi="Calibri"/>
          <w:b/>
          <w:color w:val="0A1A3A"/>
          <w:sz w:val="20"/>
        </w:rPr>
        <w:t>A teaming arrangement with Exos provides the fastest path to iterative flight data using a dedicated, reusable, U.S.-licensed platform under prime contractor control.</w:t>
      </w:r>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TEAMING STRUCTURE OPTIONS</w:t>
            </w:r>
          </w:p>
        </w:tc>
      </w:tr>
    </w:tbl>
    <w:p/>
    <w:tbl>
      <w:tblPr>
        <w:tblW w:type="auto" w:w="0"/>
        <w:jc w:val="center"/>
        <w:tblLook w:firstColumn="1" w:firstRow="1" w:lastColumn="0" w:lastRow="0" w:noHBand="0" w:noVBand="1" w:val="04A0"/>
      </w:tblPr>
      <w:tblGrid>
        <w:gridCol w:w="5040"/>
        <w:gridCol w:w="5040"/>
      </w:tblGrid>
      <w:tr>
        <w:tc>
          <w:tcPr>
            <w:tcW w:type="dxa" w:w="5040"/>
            <w:shd w:fill="0A1A3A" w:val="clear"/>
          </w:tcPr>
          <w:p>
            <w:r>
              <w:rPr>
                <w:rFonts w:ascii="Calibri" w:hAnsi="Calibri"/>
                <w:b/>
                <w:color w:val="FFFFFF"/>
                <w:sz w:val="18"/>
              </w:rPr>
              <w:t>STRUCTURE</w:t>
            </w:r>
          </w:p>
        </w:tc>
        <w:tc>
          <w:tcPr>
            <w:tcW w:type="dxa" w:w="5040"/>
            <w:shd w:fill="0A1A3A" w:val="clear"/>
          </w:tcPr>
          <w:p>
            <w:r>
              <w:rPr>
                <w:rFonts w:ascii="Calibri" w:hAnsi="Calibri"/>
                <w:b/>
                <w:color w:val="FFFFFF"/>
                <w:sz w:val="18"/>
              </w:rPr>
              <w:t>DESCRIPTION</w:t>
            </w:r>
          </w:p>
        </w:tc>
      </w:tr>
      <w:tr>
        <w:tc>
          <w:tcPr>
            <w:tcW w:type="dxa" w:w="3600"/>
          </w:tcPr>
          <w:p>
            <w:r>
              <w:rPr>
                <w:rFonts w:ascii="Calibri" w:hAnsi="Calibri"/>
                <w:b/>
                <w:color w:val="333333"/>
                <w:sz w:val="18"/>
              </w:rPr>
              <w:t>1. Subcontract to Prime</w:t>
            </w:r>
          </w:p>
        </w:tc>
        <w:tc>
          <w:tcPr>
            <w:tcW w:type="dxa" w:w="6480"/>
          </w:tcPr>
          <w:p>
            <w:r>
              <w:rPr>
                <w:rFonts w:ascii="Calibri" w:hAnsi="Calibri"/>
                <w:b w:val="0"/>
                <w:color w:val="333333"/>
                <w:sz w:val="18"/>
              </w:rPr>
              <w:t>Flight test services under existing or future AFRL/DARPA/DoD contracts</w:t>
            </w:r>
          </w:p>
        </w:tc>
      </w:tr>
      <w:tr>
        <w:tc>
          <w:tcPr>
            <w:tcW w:type="dxa" w:w="3600"/>
            <w:shd w:fill="F0F4F8" w:val="clear"/>
          </w:tcPr>
          <w:p>
            <w:r>
              <w:rPr>
                <w:rFonts w:ascii="Calibri" w:hAnsi="Calibri"/>
                <w:b/>
                <w:color w:val="333333"/>
                <w:sz w:val="18"/>
              </w:rPr>
              <w:t>2. OTA Partnership</w:t>
            </w:r>
          </w:p>
        </w:tc>
        <w:tc>
          <w:tcPr>
            <w:tcW w:type="dxa" w:w="6480"/>
            <w:shd w:fill="F0F4F8" w:val="clear"/>
          </w:tcPr>
          <w:p>
            <w:r>
              <w:rPr>
                <w:rFonts w:ascii="Calibri" w:hAnsi="Calibri"/>
                <w:b w:val="0"/>
                <w:color w:val="333333"/>
                <w:sz w:val="18"/>
              </w:rPr>
              <w:t>Joint proposal under AFWERX, SpaceWERX, or STRATFI</w:t>
            </w:r>
          </w:p>
        </w:tc>
      </w:tr>
      <w:tr>
        <w:tc>
          <w:tcPr>
            <w:tcW w:type="dxa" w:w="3600"/>
          </w:tcPr>
          <w:p>
            <w:r>
              <w:rPr>
                <w:rFonts w:ascii="Calibri" w:hAnsi="Calibri"/>
                <w:b/>
                <w:color w:val="333333"/>
                <w:sz w:val="18"/>
              </w:rPr>
              <w:t>3. SBIR/STTR</w:t>
            </w:r>
          </w:p>
        </w:tc>
        <w:tc>
          <w:tcPr>
            <w:tcW w:type="dxa" w:w="6480"/>
          </w:tcPr>
          <w:p>
            <w:r>
              <w:rPr>
                <w:rFonts w:ascii="Calibri" w:hAnsi="Calibri"/>
                <w:b w:val="0"/>
                <w:color w:val="333333"/>
                <w:sz w:val="18"/>
              </w:rPr>
              <w:t>Exos as prime or sub, targeting NASA/DoD RDRE flight demo topics</w:t>
            </w:r>
          </w:p>
        </w:tc>
      </w:tr>
      <w:tr>
        <w:tc>
          <w:tcPr>
            <w:tcW w:type="dxa" w:w="3600"/>
            <w:shd w:fill="F0F4F8" w:val="clear"/>
          </w:tcPr>
          <w:p>
            <w:r>
              <w:rPr>
                <w:rFonts w:ascii="Calibri" w:hAnsi="Calibri"/>
                <w:b/>
                <w:color w:val="333333"/>
                <w:sz w:val="18"/>
              </w:rPr>
              <w:t>4. APAC Task Orders</w:t>
            </w:r>
          </w:p>
        </w:tc>
        <w:tc>
          <w:tcPr>
            <w:tcW w:type="dxa" w:w="6480"/>
            <w:shd w:fill="F0F4F8" w:val="clear"/>
          </w:tcPr>
          <w:p>
            <w:r>
              <w:rPr>
                <w:rFonts w:ascii="Calibri" w:hAnsi="Calibri"/>
                <w:b w:val="0"/>
                <w:color w:val="333333"/>
                <w:sz w:val="18"/>
              </w:rPr>
              <w:t>Flight test subcontractor on APAC IDIQ task orders for advanced propulsion T&amp;E</w:t>
            </w:r>
          </w:p>
        </w:tc>
      </w:tr>
      <w:tr>
        <w:tc>
          <w:tcPr>
            <w:tcW w:type="dxa" w:w="3600"/>
          </w:tcPr>
          <w:p>
            <w:r>
              <w:rPr>
                <w:rFonts w:ascii="Calibri" w:hAnsi="Calibri"/>
                <w:b/>
                <w:color w:val="333333"/>
                <w:sz w:val="18"/>
              </w:rPr>
              <w:t>5. IRAD/Cooperative Agreement</w:t>
            </w:r>
          </w:p>
        </w:tc>
        <w:tc>
          <w:tcPr>
            <w:tcW w:type="dxa" w:w="6480"/>
          </w:tcPr>
          <w:p>
            <w:r>
              <w:rPr>
                <w:rFonts w:ascii="Calibri" w:hAnsi="Calibri"/>
                <w:b w:val="0"/>
                <w:color w:val="333333"/>
                <w:sz w:val="18"/>
              </w:rPr>
              <w:t>Jointly funded flight test campaign with negotiated data rights</w:t>
            </w:r>
          </w:p>
        </w:tc>
      </w:tr>
    </w:tbl>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RELEVANT CONTRACTS &amp; AGREEMENTS</w:t>
            </w:r>
          </w:p>
        </w:tc>
      </w:tr>
    </w:tbl>
    <w:p>
      <w:pPr>
        <w:pStyle w:val="ListBullet"/>
      </w:pPr>
      <w:r>
        <w:rPr>
          <w:rFonts w:ascii="Calibri" w:hAnsi="Calibri"/>
          <w:color w:val="333333"/>
          <w:sz w:val="18"/>
        </w:rPr>
        <w:t>NASA Data Usage Agreement (Space Act Agreement) — RDRE Technology Development, NASA MSFC (active)</w:t>
      </w:r>
    </w:p>
    <w:p>
      <w:pPr>
        <w:pStyle w:val="ListBullet"/>
      </w:pPr>
      <w:r>
        <w:rPr>
          <w:rFonts w:ascii="Calibri" w:hAnsi="Calibri"/>
          <w:color w:val="333333"/>
          <w:sz w:val="18"/>
        </w:rPr>
        <w:t>USAF HVRR Contract — High Velocity Research Rocket with RDRE flight demo objective (active)</w:t>
      </w:r>
    </w:p>
    <w:p>
      <w:pPr>
        <w:pStyle w:val="ListBullet"/>
      </w:pPr>
      <w:r>
        <w:rPr>
          <w:rFonts w:ascii="Calibri" w:hAnsi="Calibri"/>
          <w:color w:val="333333"/>
          <w:sz w:val="18"/>
        </w:rPr>
        <w:t>NASA REDDI Program — SARGE platform flight heritage (completed)</w:t>
      </w:r>
    </w:p>
    <w:p>
      <w:pPr>
        <w:pStyle w:val="ListBullet"/>
      </w:pPr>
      <w:r>
        <w:rPr>
          <w:rFonts w:ascii="Calibri" w:hAnsi="Calibri"/>
          <w:color w:val="333333"/>
          <w:sz w:val="18"/>
        </w:rPr>
        <w:t>FAA Reusable Launch Vehicle License, Part 431 (active, renewed March 13, 2026)</w:t>
      </w:r>
    </w:p>
    <w:tbl>
      <w:tblPr>
        <w:tblW w:type="auto" w:w="0"/>
        <w:jc w:val="center"/>
        <w:tblLook w:firstColumn="1" w:firstRow="1" w:lastColumn="0" w:lastRow="0" w:noHBand="0" w:noVBand="1" w:val="04A0"/>
      </w:tblPr>
      <w:tblGrid>
        <w:gridCol w:w="10080"/>
      </w:tblGrid>
      <w:tr>
        <w:tc>
          <w:tcPr>
            <w:tcW w:type="dxa" w:w="10080"/>
            <w:shd w:fill="0A1A3A" w:val="clear"/>
            <w:tcMar>
              <w:top w:w="40" w:type="dxa"/>
              <w:left w:w="120" w:type="dxa"/>
              <w:bottom w:w="40" w:type="dxa"/>
              <w:right w:w="120" w:type="dxa"/>
            </w:tcMar>
          </w:tcPr>
          <w:p>
            <w:pPr>
              <w:jc w:val="left"/>
            </w:pPr>
            <w:r>
              <w:rPr>
                <w:rFonts w:ascii="Calibri" w:hAnsi="Calibri"/>
                <w:b/>
                <w:color w:val="FFFFFF"/>
                <w:sz w:val="22"/>
              </w:rPr>
              <w:t xml:space="preserve">  POINTS OF CONTACT</w:t>
            </w:r>
          </w:p>
        </w:tc>
      </w:tr>
    </w:tbl>
    <w:p/>
    <w:tbl>
      <w:tblPr>
        <w:tblW w:type="auto" w:w="0"/>
        <w:jc w:val="center"/>
        <w:tblLook w:firstColumn="1" w:firstRow="1" w:lastColumn="0" w:lastRow="0" w:noHBand="0" w:noVBand="1" w:val="04A0"/>
      </w:tblPr>
      <w:tblGrid>
        <w:gridCol w:w="2520"/>
        <w:gridCol w:w="2520"/>
        <w:gridCol w:w="2520"/>
        <w:gridCol w:w="2520"/>
      </w:tblGrid>
      <w:tr>
        <w:tc>
          <w:tcPr>
            <w:tcW w:type="dxa" w:w="2520"/>
            <w:tcBorders>
              <w:top w:val="none" w:sz="0" w:space="0"/>
              <w:left w:val="none" w:sz="0" w:space="0"/>
              <w:bottom w:val="none" w:sz="0" w:space="0"/>
              <w:right w:val="none" w:sz="0" w:space="0"/>
            </w:tcBorders>
          </w:tcPr>
          <w:p>
            <w:r>
              <w:rPr>
                <w:rFonts w:ascii="Calibri" w:hAnsi="Calibri"/>
                <w:b/>
                <w:color w:val="0A1A3A"/>
                <w:sz w:val="22"/>
              </w:rPr>
            </w:r>
          </w:p>
        </w:tc>
        <w:tc>
          <w:tcPr>
            <w:tcW w:type="dxa" w:w="2520"/>
            <w:tcBorders>
              <w:top w:val="none" w:sz="0" w:space="0"/>
              <w:left w:val="none" w:sz="0" w:space="0"/>
              <w:bottom w:val="none" w:sz="0" w:space="0"/>
              <w:right w:val="none" w:sz="0" w:space="0"/>
            </w:tcBorders>
          </w:tcPr>
          <w:p>
            <w:r>
              <w:rPr>
                <w:rFonts w:ascii="Calibri" w:hAnsi="Calibri"/>
                <w:b/>
                <w:color w:val="0A1A3A"/>
                <w:sz w:val="22"/>
              </w:rPr>
              <w:t>JOHN QUINN</w:t>
            </w:r>
          </w:p>
        </w:tc>
        <w:tc>
          <w:tcPr>
            <w:tcW w:type="dxa" w:w="2520"/>
            <w:tcBorders>
              <w:top w:val="none" w:sz="0" w:space="0"/>
              <w:left w:val="none" w:sz="0" w:space="0"/>
              <w:bottom w:val="none" w:sz="0" w:space="0"/>
              <w:right w:val="none" w:sz="0" w:space="0"/>
            </w:tcBorders>
          </w:tcPr>
          <w:p>
            <w:r>
              <w:rPr>
                <w:rFonts w:ascii="Calibri" w:hAnsi="Calibri"/>
                <w:b/>
                <w:color w:val="0A1A3A"/>
                <w:sz w:val="22"/>
              </w:rPr>
            </w:r>
          </w:p>
        </w:tc>
        <w:tc>
          <w:tcPr>
            <w:tcW w:type="dxa" w:w="2520"/>
            <w:tcBorders>
              <w:top w:val="none" w:sz="0" w:space="0"/>
              <w:left w:val="none" w:sz="0" w:space="0"/>
              <w:bottom w:val="none" w:sz="0" w:space="0"/>
              <w:right w:val="none" w:sz="0" w:space="0"/>
            </w:tcBorders>
          </w:tcPr>
          <w:p>
            <w:r>
              <w:rPr>
                <w:rFonts w:ascii="Calibri" w:hAnsi="Calibri"/>
                <w:b/>
                <w:color w:val="0A1A3A"/>
                <w:sz w:val="22"/>
              </w:rPr>
              <w:t>NEIL MILBURN</w:t>
            </w:r>
          </w:p>
        </w:tc>
      </w:tr>
      <w:tr>
        <w:tc>
          <w:tcPr>
            <w:tcW w:type="dxa" w:w="2520"/>
            <w:tcBorders>
              <w:top w:val="none" w:sz="0" w:space="0"/>
              <w:left w:val="none" w:sz="0" w:space="0"/>
              <w:bottom w:val="none" w:sz="0" w:space="0"/>
              <w:right w:val="none" w:sz="0" w:space="0"/>
            </w:tcBorders>
          </w:tcPr>
          <w:p>
            <w:r>
              <w:rPr>
                <w:rFonts w:ascii="Calibri" w:hAnsi="Calibri"/>
                <w:b/>
                <w:color w:val="333333"/>
                <w:sz w:val="18"/>
              </w:rPr>
              <w:t>Role</w:t>
            </w:r>
          </w:p>
        </w:tc>
        <w:tc>
          <w:tcPr>
            <w:tcW w:type="dxa" w:w="2520"/>
            <w:tcBorders>
              <w:top w:val="none" w:sz="0" w:space="0"/>
              <w:left w:val="none" w:sz="0" w:space="0"/>
              <w:bottom w:val="none" w:sz="0" w:space="0"/>
              <w:right w:val="none" w:sz="0" w:space="0"/>
            </w:tcBorders>
          </w:tcPr>
          <w:p>
            <w:r>
              <w:rPr>
                <w:rFonts w:ascii="Calibri" w:hAnsi="Calibri"/>
                <w:color w:val="333333"/>
                <w:sz w:val="18"/>
              </w:rPr>
              <w:t>CEO &amp; Co-Founder</w:t>
            </w:r>
          </w:p>
        </w:tc>
        <w:tc>
          <w:tcPr>
            <w:tcW w:type="dxa" w:w="2520"/>
            <w:tcBorders>
              <w:top w:val="none" w:sz="0" w:space="0"/>
              <w:left w:val="none" w:sz="0" w:space="0"/>
              <w:bottom w:val="none" w:sz="0" w:space="0"/>
              <w:right w:val="none" w:sz="0" w:space="0"/>
            </w:tcBorders>
          </w:tcPr>
          <w:p>
            <w:r>
              <w:rPr>
                <w:rFonts w:ascii="Calibri" w:hAnsi="Calibri"/>
                <w:b/>
                <w:color w:val="333333"/>
                <w:sz w:val="18"/>
              </w:rPr>
              <w:t>Role</w:t>
            </w:r>
          </w:p>
        </w:tc>
        <w:tc>
          <w:tcPr>
            <w:tcW w:type="dxa" w:w="2520"/>
            <w:tcBorders>
              <w:top w:val="none" w:sz="0" w:space="0"/>
              <w:left w:val="none" w:sz="0" w:space="0"/>
              <w:bottom w:val="none" w:sz="0" w:space="0"/>
              <w:right w:val="none" w:sz="0" w:space="0"/>
            </w:tcBorders>
          </w:tcPr>
          <w:p>
            <w:r>
              <w:rPr>
                <w:rFonts w:ascii="Calibri" w:hAnsi="Calibri"/>
                <w:color w:val="333333"/>
                <w:sz w:val="18"/>
              </w:rPr>
              <w:t>COO &amp; Co-Founder / Program Director</w:t>
            </w:r>
          </w:p>
        </w:tc>
      </w:tr>
      <w:tr>
        <w:tc>
          <w:tcPr>
            <w:tcW w:type="dxa" w:w="2520"/>
            <w:tcBorders>
              <w:top w:val="none" w:sz="0" w:space="0"/>
              <w:left w:val="none" w:sz="0" w:space="0"/>
              <w:bottom w:val="none" w:sz="0" w:space="0"/>
              <w:right w:val="none" w:sz="0" w:space="0"/>
            </w:tcBorders>
          </w:tcPr>
          <w:p>
            <w:r>
              <w:rPr>
                <w:rFonts w:ascii="Calibri" w:hAnsi="Calibri"/>
                <w:b/>
                <w:color w:val="333333"/>
                <w:sz w:val="18"/>
              </w:rPr>
              <w:t>Contact</w:t>
            </w:r>
          </w:p>
        </w:tc>
        <w:tc>
          <w:tcPr>
            <w:tcW w:type="dxa" w:w="2520"/>
            <w:tcBorders>
              <w:top w:val="none" w:sz="0" w:space="0"/>
              <w:left w:val="none" w:sz="0" w:space="0"/>
              <w:bottom w:val="none" w:sz="0" w:space="0"/>
              <w:right w:val="none" w:sz="0" w:space="0"/>
            </w:tcBorders>
          </w:tcPr>
          <w:p>
            <w:r>
              <w:rPr>
                <w:rFonts w:ascii="Calibri" w:hAnsi="Calibri"/>
                <w:color w:val="333333"/>
                <w:sz w:val="18"/>
              </w:rPr>
              <w:t>jquinn@exosaero.com</w:t>
              <w:br/>
              <w:t>+1-972-740-8355</w:t>
            </w:r>
          </w:p>
        </w:tc>
        <w:tc>
          <w:tcPr>
            <w:tcW w:type="dxa" w:w="2520"/>
            <w:tcBorders>
              <w:top w:val="none" w:sz="0" w:space="0"/>
              <w:left w:val="none" w:sz="0" w:space="0"/>
              <w:bottom w:val="none" w:sz="0" w:space="0"/>
              <w:right w:val="none" w:sz="0" w:space="0"/>
            </w:tcBorders>
          </w:tcPr>
          <w:p>
            <w:r>
              <w:rPr>
                <w:rFonts w:ascii="Calibri" w:hAnsi="Calibri"/>
                <w:b/>
                <w:color w:val="333333"/>
                <w:sz w:val="18"/>
              </w:rPr>
              <w:t>Contact</w:t>
            </w:r>
          </w:p>
        </w:tc>
        <w:tc>
          <w:tcPr>
            <w:tcW w:type="dxa" w:w="2520"/>
            <w:tcBorders>
              <w:top w:val="none" w:sz="0" w:space="0"/>
              <w:left w:val="none" w:sz="0" w:space="0"/>
              <w:bottom w:val="none" w:sz="0" w:space="0"/>
              <w:right w:val="none" w:sz="0" w:space="0"/>
            </w:tcBorders>
          </w:tcPr>
          <w:p>
            <w:r>
              <w:rPr>
                <w:rFonts w:ascii="Calibri" w:hAnsi="Calibri"/>
                <w:color w:val="333333"/>
                <w:sz w:val="18"/>
              </w:rPr>
              <w:t>[add email]</w:t>
              <w:br/>
              <w:t>[add phone]</w:t>
            </w:r>
          </w:p>
        </w:tc>
      </w:tr>
    </w:tbl>
    <w:p/>
    <w:tbl>
      <w:tblPr>
        <w:tblW w:type="auto" w:w="0"/>
        <w:jc w:val="center"/>
        <w:tblLook w:firstColumn="1" w:firstRow="1" w:lastColumn="0" w:lastRow="0" w:noHBand="0" w:noVBand="1" w:val="04A0"/>
      </w:tblPr>
      <w:tblGrid>
        <w:gridCol w:w="10080"/>
      </w:tblGrid>
      <w:tr>
        <w:tc>
          <w:tcPr>
            <w:tcW w:type="dxa" w:w="10080"/>
            <w:shd w:fill="007ACC" w:val="clear"/>
          </w:tcPr>
          <w:p>
            <w:r>
              <w:rPr>
                <w:sz w:val="4"/>
              </w:rPr>
            </w:r>
          </w:p>
        </w:tc>
      </w:tr>
    </w:tbl>
    <w:p>
      <w:pPr>
        <w:jc w:val="center"/>
      </w:pPr>
      <w:r>
        <w:rPr>
          <w:rFonts w:ascii="Calibri" w:hAnsi="Calibri"/>
          <w:b/>
          <w:color w:val="0A1A3A"/>
          <w:sz w:val="28"/>
        </w:rPr>
        <w:t>EXOS AEROSPACE</w:t>
      </w:r>
    </w:p>
    <w:p>
      <w:pPr>
        <w:jc w:val="center"/>
      </w:pPr>
      <w:r>
        <w:rPr>
          <w:rFonts w:ascii="Calibri" w:hAnsi="Calibri"/>
          <w:i/>
          <w:color w:val="007ACC"/>
          <w:sz w:val="22"/>
        </w:rPr>
        <w:t>Reusable.  Licensed.  Ready.</w:t>
      </w:r>
    </w:p>
    <w:sectPr w:rsidR="00FC693F" w:rsidRPr="0006063C" w:rsidSect="00034616">
      <w:pgSz w:w="12240" w:h="15840"/>
      <w:pgMar w:top="1584" w:right="1080" w:bottom="1152"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