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after="40" w:before="0"/>
        <w:jc w:val="center"/>
      </w:pPr>
      <w:r>
        <w:rPr>
          <w:b/>
          <w:i w:val="0"/>
          <w:color w:val="C00000"/>
          <w:sz w:val="18"/>
        </w:rPr>
        <w:t>INTERNAL  ·  DRAFT  ·  NEGOTIATING TERMS  ·  CEO / Board Eyes Only</w:t>
      </w:r>
    </w:p>
    <w:p>
      <w:pPr>
        <w:spacing w:after="40" w:before="0"/>
        <w:jc w:val="center"/>
      </w:pPr>
      <w:r>
        <w:rPr>
          <w:b/>
          <w:i w:val="0"/>
          <w:color w:val="1F3A68"/>
          <w:sz w:val="28"/>
        </w:rPr>
        <w:t>EXOS AEROSPACE — SSLC OPTION B: ACQUISITION OFFER SUMMARY</w:t>
      </w:r>
    </w:p>
    <w:p>
      <w:pPr>
        <w:spacing w:after="100" w:before="0"/>
        <w:jc w:val="center"/>
      </w:pPr>
      <w:r>
        <w:rPr>
          <w:b w:val="0"/>
          <w:i/>
          <w:color w:val="606060"/>
          <w:sz w:val="19"/>
        </w:rPr>
        <w:t>October 9, 2026  ·  Exos Aerospace Systems &amp; Technologies, Inc.</w:t>
      </w:r>
    </w:p>
    <w:p>
      <w:pPr>
        <w:keepNext/>
        <w:spacing w:after="60" w:before="120"/>
      </w:pPr>
      <w:r>
        <w:rPr>
          <w:b/>
          <w:i w:val="0"/>
          <w:color w:val="1F3A68"/>
          <w:sz w:val="24"/>
        </w:rPr>
        <w:t>1.  What SSLC Holders Receive</w:t>
      </w:r>
    </w:p>
    <w:p>
      <w:pPr>
        <w:spacing w:after="60" w:before="0"/>
      </w:pPr>
      <w:r>
        <w:rPr>
          <w:b w:val="0"/>
          <w:i/>
          <w:color w:val="2E75B6"/>
          <w:sz w:val="19"/>
        </w:rPr>
        <w:t>Up-front price reflects today's numbers; earn-outs let SSLC holders share directly in tank deliveries, revenue milestones, and the Exos listing.</w:t>
      </w:r>
    </w:p>
    <w:p>
      <w:pPr>
        <w:spacing w:after="40" w:before="0"/>
      </w:pPr>
      <w:r>
        <w:rPr>
          <w:b w:val="0"/>
          <w:i/>
          <w:color w:val="606060"/>
          <w:sz w:val="15"/>
        </w:rPr>
        <w:t>Earn-out rows: negotiating terms — management assumptions. Each milestone is independently verifiable; none pay unless the trigger is met.</w:t>
      </w:r>
    </w:p>
    <w:tbl>
      <w:tblPr>
        <w:tblW w:type="auto" w:w="0"/>
        <w:jc w:val="center"/>
        <w:tblLayout w:type="fixed"/>
        <w:tblLook w:firstColumn="1" w:firstRow="1" w:lastColumn="0" w:lastRow="0" w:noHBand="0" w:noVBand="1" w:val="04A0"/>
      </w:tblPr>
      <w:tblGrid>
        <w:gridCol w:w="3240"/>
        <w:gridCol w:w="1152"/>
        <w:gridCol w:w="1152"/>
        <w:gridCol w:w="1152"/>
        <w:gridCol w:w="2664"/>
      </w:tblGrid>
      <w:tr>
        <w:tc>
          <w:tcPr>
            <w:tcW w:type="dxa" w:w="3240"/>
            <w:shd w:val="clear" w:color="auto" w:fill="1F3A68"/>
          </w:tcPr>
          <w:p>
            <w:r/>
            <w:r>
              <w:rPr>
                <w:b/>
                <w:color w:val="FFFFFF"/>
                <w:sz w:val="16"/>
              </w:rPr>
              <w:t>Component</w:t>
            </w:r>
          </w:p>
        </w:tc>
        <w:tc>
          <w:tcPr>
            <w:tcW w:type="dxa" w:w="1152"/>
            <w:shd w:val="clear" w:color="auto" w:fill="1F3A68"/>
          </w:tcPr>
          <w:p>
            <w:pPr>
              <w:jc w:val="right"/>
            </w:pPr>
            <w:r/>
            <w:r>
              <w:rPr>
                <w:b/>
                <w:color w:val="FFFFFF"/>
                <w:sz w:val="16"/>
              </w:rPr>
              <w:t>Low</w:t>
            </w:r>
          </w:p>
        </w:tc>
        <w:tc>
          <w:tcPr>
            <w:tcW w:type="dxa" w:w="1152"/>
            <w:shd w:val="clear" w:color="auto" w:fill="1F3A68"/>
          </w:tcPr>
          <w:p>
            <w:pPr>
              <w:jc w:val="right"/>
            </w:pPr>
            <w:r/>
            <w:r>
              <w:rPr>
                <w:b/>
                <w:color w:val="FFFFFF"/>
                <w:sz w:val="16"/>
              </w:rPr>
              <w:t>Base</w:t>
            </w:r>
          </w:p>
        </w:tc>
        <w:tc>
          <w:tcPr>
            <w:tcW w:type="dxa" w:w="1152"/>
            <w:shd w:val="clear" w:color="auto" w:fill="1F3A68"/>
          </w:tcPr>
          <w:p>
            <w:pPr>
              <w:jc w:val="right"/>
            </w:pPr>
            <w:r/>
            <w:r>
              <w:rPr>
                <w:b/>
                <w:color w:val="FFFFFF"/>
                <w:sz w:val="16"/>
              </w:rPr>
              <w:t>High</w:t>
            </w:r>
          </w:p>
        </w:tc>
        <w:tc>
          <w:tcPr>
            <w:tcW w:type="dxa" w:w="2664"/>
            <w:shd w:val="clear" w:color="auto" w:fill="1F3A68"/>
          </w:tcPr>
          <w:p>
            <w:r/>
            <w:r>
              <w:rPr>
                <w:b/>
                <w:color w:val="FFFFFF"/>
                <w:sz w:val="16"/>
              </w:rPr>
              <w:t>When / Notes</w:t>
            </w:r>
          </w:p>
        </w:tc>
      </w:tr>
      <w:tr>
        <w:tc>
          <w:tcPr>
            <w:tcW w:type="dxa" w:w="3240"/>
          </w:tcPr>
          <w:p>
            <w:r/>
            <w:r>
              <w:rPr>
                <w:sz w:val="16"/>
              </w:rPr>
              <w:t>Cash at close</w:t>
            </w:r>
          </w:p>
        </w:tc>
        <w:tc>
          <w:tcPr>
            <w:tcW w:type="dxa" w:w="1152"/>
          </w:tcPr>
          <w:p>
            <w:pPr>
              <w:jc w:val="right"/>
            </w:pPr>
            <w:r/>
            <w:r>
              <w:rPr>
                <w:sz w:val="16"/>
              </w:rPr>
              <w:t>$2,510K</w:t>
            </w:r>
          </w:p>
        </w:tc>
        <w:tc>
          <w:tcPr>
            <w:tcW w:type="dxa" w:w="1152"/>
          </w:tcPr>
          <w:p>
            <w:pPr>
              <w:jc w:val="right"/>
            </w:pPr>
            <w:r/>
            <w:r>
              <w:rPr>
                <w:sz w:val="16"/>
              </w:rPr>
              <w:t>$2,510K</w:t>
            </w:r>
          </w:p>
        </w:tc>
        <w:tc>
          <w:tcPr>
            <w:tcW w:type="dxa" w:w="1152"/>
          </w:tcPr>
          <w:p>
            <w:pPr>
              <w:jc w:val="right"/>
            </w:pPr>
            <w:r/>
            <w:r>
              <w:rPr>
                <w:sz w:val="16"/>
              </w:rPr>
              <w:t>$2,510K</w:t>
            </w:r>
          </w:p>
        </w:tc>
        <w:tc>
          <w:tcPr>
            <w:tcW w:type="dxa" w:w="2664"/>
          </w:tcPr>
          <w:p>
            <w:r/>
            <w:r>
              <w:rPr>
                <w:sz w:val="16"/>
              </w:rPr>
              <w:t>Close ~Q1 FY27</w:t>
            </w:r>
          </w:p>
        </w:tc>
      </w:tr>
      <w:tr>
        <w:tc>
          <w:tcPr>
            <w:tcW w:type="dxa" w:w="3240"/>
          </w:tcPr>
          <w:p>
            <w:r/>
            <w:r>
              <w:rPr>
                <w:sz w:val="16"/>
              </w:rPr>
              <w:t>SSLC transaction costs</w:t>
            </w:r>
          </w:p>
        </w:tc>
        <w:tc>
          <w:tcPr>
            <w:tcW w:type="dxa" w:w="1152"/>
          </w:tcPr>
          <w:p>
            <w:pPr>
              <w:jc w:val="right"/>
            </w:pPr>
            <w:r/>
            <w:r>
              <w:rPr>
                <w:sz w:val="16"/>
              </w:rPr>
              <w:t>$60K</w:t>
            </w:r>
          </w:p>
        </w:tc>
        <w:tc>
          <w:tcPr>
            <w:tcW w:type="dxa" w:w="1152"/>
          </w:tcPr>
          <w:p>
            <w:pPr>
              <w:jc w:val="right"/>
            </w:pPr>
            <w:r/>
            <w:r>
              <w:rPr>
                <w:sz w:val="16"/>
              </w:rPr>
              <w:t>$60K</w:t>
            </w:r>
          </w:p>
        </w:tc>
        <w:tc>
          <w:tcPr>
            <w:tcW w:type="dxa" w:w="1152"/>
          </w:tcPr>
          <w:p>
            <w:pPr>
              <w:jc w:val="right"/>
            </w:pPr>
            <w:r/>
            <w:r>
              <w:rPr>
                <w:sz w:val="16"/>
              </w:rPr>
              <w:t>$60K</w:t>
            </w:r>
          </w:p>
        </w:tc>
        <w:tc>
          <w:tcPr>
            <w:tcW w:type="dxa" w:w="2664"/>
          </w:tcPr>
          <w:p>
            <w:r/>
            <w:r>
              <w:rPr>
                <w:sz w:val="16"/>
              </w:rPr>
              <w:t>Close; seller-side</w:t>
            </w:r>
          </w:p>
        </w:tc>
      </w:tr>
      <w:tr>
        <w:tc>
          <w:tcPr>
            <w:tcW w:type="dxa" w:w="3240"/>
          </w:tcPr>
          <w:p>
            <w:r/>
            <w:r>
              <w:rPr>
                <w:sz w:val="16"/>
              </w:rPr>
              <w:t>Credit for Exos's existing stake</w:t>
            </w:r>
          </w:p>
        </w:tc>
        <w:tc>
          <w:tcPr>
            <w:tcW w:type="dxa" w:w="1152"/>
          </w:tcPr>
          <w:p>
            <w:pPr>
              <w:jc w:val="right"/>
            </w:pPr>
            <w:r/>
            <w:r>
              <w:rPr>
                <w:sz w:val="16"/>
              </w:rPr>
              <w:t>$790K</w:t>
            </w:r>
          </w:p>
        </w:tc>
        <w:tc>
          <w:tcPr>
            <w:tcW w:type="dxa" w:w="1152"/>
          </w:tcPr>
          <w:p>
            <w:pPr>
              <w:jc w:val="right"/>
            </w:pPr>
            <w:r/>
            <w:r>
              <w:rPr>
                <w:sz w:val="16"/>
              </w:rPr>
              <w:t>$790K</w:t>
            </w:r>
          </w:p>
        </w:tc>
        <w:tc>
          <w:tcPr>
            <w:tcW w:type="dxa" w:w="1152"/>
          </w:tcPr>
          <w:p>
            <w:pPr>
              <w:jc w:val="right"/>
            </w:pPr>
            <w:r/>
            <w:r>
              <w:rPr>
                <w:sz w:val="16"/>
              </w:rPr>
              <w:t>$790K</w:t>
            </w:r>
          </w:p>
        </w:tc>
        <w:tc>
          <w:tcPr>
            <w:tcW w:type="dxa" w:w="2664"/>
          </w:tcPr>
          <w:p>
            <w:r/>
            <w:r>
              <w:rPr>
                <w:sz w:val="16"/>
              </w:rPr>
              <w:t>Close (non-cash credit)</w:t>
            </w:r>
          </w:p>
        </w:tc>
      </w:tr>
      <w:tr>
        <w:tc>
          <w:tcPr>
            <w:tcW w:type="dxa" w:w="3240"/>
          </w:tcPr>
          <w:p>
            <w:r/>
            <w:r>
              <w:rPr>
                <w:sz w:val="16"/>
              </w:rPr>
              <w:t>SSLC debts paid at face</w:t>
            </w:r>
          </w:p>
        </w:tc>
        <w:tc>
          <w:tcPr>
            <w:tcW w:type="dxa" w:w="1152"/>
          </w:tcPr>
          <w:p>
            <w:pPr>
              <w:jc w:val="right"/>
            </w:pPr>
            <w:r/>
            <w:r>
              <w:rPr>
                <w:sz w:val="16"/>
              </w:rPr>
              <w:t>$500K</w:t>
            </w:r>
          </w:p>
        </w:tc>
        <w:tc>
          <w:tcPr>
            <w:tcW w:type="dxa" w:w="1152"/>
          </w:tcPr>
          <w:p>
            <w:pPr>
              <w:jc w:val="right"/>
            </w:pPr>
            <w:r/>
            <w:r>
              <w:rPr>
                <w:sz w:val="16"/>
              </w:rPr>
              <w:t>$500K</w:t>
            </w:r>
          </w:p>
        </w:tc>
        <w:tc>
          <w:tcPr>
            <w:tcW w:type="dxa" w:w="1152"/>
          </w:tcPr>
          <w:p>
            <w:pPr>
              <w:jc w:val="right"/>
            </w:pPr>
            <w:r/>
            <w:r>
              <w:rPr>
                <w:sz w:val="16"/>
              </w:rPr>
              <w:t>$500K</w:t>
            </w:r>
          </w:p>
        </w:tc>
        <w:tc>
          <w:tcPr>
            <w:tcW w:type="dxa" w:w="2664"/>
          </w:tcPr>
          <w:p>
            <w:r/>
            <w:r>
              <w:rPr>
                <w:sz w:val="16"/>
              </w:rPr>
              <w:t>Close; ~$500K TBV in QB</w:t>
            </w:r>
          </w:p>
        </w:tc>
      </w:tr>
      <w:tr>
        <w:tc>
          <w:tcPr>
            <w:tcW w:type="dxa" w:w="3240"/>
          </w:tcPr>
          <w:p>
            <w:r/>
            <w:r>
              <w:rPr>
                <w:sz w:val="16"/>
              </w:rPr>
              <w:t>Working-capital bridge</w:t>
            </w:r>
          </w:p>
        </w:tc>
        <w:tc>
          <w:tcPr>
            <w:tcW w:type="dxa" w:w="1152"/>
          </w:tcPr>
          <w:p>
            <w:pPr>
              <w:jc w:val="right"/>
            </w:pPr>
            <w:r/>
            <w:r>
              <w:rPr>
                <w:sz w:val="16"/>
              </w:rPr>
              <w:t>$500K</w:t>
            </w:r>
          </w:p>
        </w:tc>
        <w:tc>
          <w:tcPr>
            <w:tcW w:type="dxa" w:w="1152"/>
          </w:tcPr>
          <w:p>
            <w:pPr>
              <w:jc w:val="right"/>
            </w:pPr>
            <w:r/>
            <w:r>
              <w:rPr>
                <w:sz w:val="16"/>
              </w:rPr>
              <w:t>$500K</w:t>
            </w:r>
          </w:p>
        </w:tc>
        <w:tc>
          <w:tcPr>
            <w:tcW w:type="dxa" w:w="1152"/>
          </w:tcPr>
          <w:p>
            <w:pPr>
              <w:jc w:val="right"/>
            </w:pPr>
            <w:r/>
            <w:r>
              <w:rPr>
                <w:sz w:val="16"/>
              </w:rPr>
              <w:t>$500K</w:t>
            </w:r>
          </w:p>
        </w:tc>
        <w:tc>
          <w:tcPr>
            <w:tcW w:type="dxa" w:w="2664"/>
          </w:tcPr>
          <w:p>
            <w:r/>
            <w:r>
              <w:rPr>
                <w:sz w:val="16"/>
              </w:rPr>
              <w:t>Close</w:t>
            </w:r>
          </w:p>
        </w:tc>
      </w:tr>
      <w:tr>
        <w:tc>
          <w:tcPr>
            <w:tcW w:type="dxa" w:w="3240"/>
            <w:shd w:val="clear" w:color="auto" w:fill="F3F4F6"/>
          </w:tcPr>
          <w:p>
            <w:r/>
            <w:r>
              <w:rPr>
                <w:b/>
                <w:sz w:val="16"/>
              </w:rPr>
              <w:t>① Cash &amp; debt relief at close</w:t>
            </w:r>
          </w:p>
        </w:tc>
        <w:tc>
          <w:tcPr>
            <w:tcW w:type="dxa" w:w="1152"/>
            <w:shd w:val="clear" w:color="auto" w:fill="F3F4F6"/>
          </w:tcPr>
          <w:p>
            <w:pPr>
              <w:jc w:val="right"/>
            </w:pPr>
            <w:r/>
            <w:r>
              <w:rPr>
                <w:b/>
                <w:sz w:val="16"/>
              </w:rPr>
              <w:t>$4,360K</w:t>
            </w:r>
          </w:p>
        </w:tc>
        <w:tc>
          <w:tcPr>
            <w:tcW w:type="dxa" w:w="1152"/>
            <w:shd w:val="clear" w:color="auto" w:fill="F3F4F6"/>
          </w:tcPr>
          <w:p>
            <w:pPr>
              <w:jc w:val="right"/>
            </w:pPr>
            <w:r/>
            <w:r>
              <w:rPr>
                <w:b/>
                <w:sz w:val="16"/>
              </w:rPr>
              <w:t>$4,360K</w:t>
            </w:r>
          </w:p>
        </w:tc>
        <w:tc>
          <w:tcPr>
            <w:tcW w:type="dxa" w:w="1152"/>
            <w:shd w:val="clear" w:color="auto" w:fill="F3F4F6"/>
          </w:tcPr>
          <w:p>
            <w:pPr>
              <w:jc w:val="right"/>
            </w:pPr>
            <w:r/>
            <w:r>
              <w:rPr>
                <w:b/>
                <w:sz w:val="16"/>
              </w:rPr>
              <w:t>$4,360K</w:t>
            </w:r>
          </w:p>
        </w:tc>
        <w:tc>
          <w:tcPr>
            <w:tcW w:type="dxa" w:w="2664"/>
            <w:shd w:val="clear" w:color="auto" w:fill="F3F4F6"/>
          </w:tcPr>
          <w:p>
            <w:r/>
            <w:r>
              <w:rPr>
                <w:b/>
                <w:sz w:val="16"/>
              </w:rPr>
              <w:t>Cash + costs + stake credit + debts + WC bridge</w:t>
            </w:r>
          </w:p>
        </w:tc>
      </w:tr>
      <w:tr>
        <w:tc>
          <w:tcPr>
            <w:tcW w:type="dxa" w:w="3240"/>
          </w:tcPr>
          <w:p>
            <w:r/>
            <w:r>
              <w:rPr>
                <w:sz w:val="16"/>
              </w:rPr>
              <w:t>+ Exos equity — $1.0M fixed EAI units</w:t>
            </w:r>
            <w:r>
              <w:br/>
            </w:r>
            <w:r>
              <w:rPr>
                <w:sz w:val="16"/>
              </w:rPr>
              <w:t>(Rule 504, ~0.59% at 409A ~$170M)</w:t>
            </w:r>
          </w:p>
        </w:tc>
        <w:tc>
          <w:tcPr>
            <w:tcW w:type="dxa" w:w="1152"/>
          </w:tcPr>
          <w:p>
            <w:pPr>
              <w:jc w:val="right"/>
            </w:pPr>
            <w:r/>
            <w:r>
              <w:rPr>
                <w:sz w:val="16"/>
              </w:rPr>
              <w:t>$1,000K</w:t>
            </w:r>
          </w:p>
        </w:tc>
        <w:tc>
          <w:tcPr>
            <w:tcW w:type="dxa" w:w="1152"/>
          </w:tcPr>
          <w:p>
            <w:pPr>
              <w:jc w:val="right"/>
            </w:pPr>
            <w:r/>
            <w:r>
              <w:rPr>
                <w:sz w:val="16"/>
              </w:rPr>
              <w:t>$1,000K</w:t>
            </w:r>
          </w:p>
        </w:tc>
        <w:tc>
          <w:tcPr>
            <w:tcW w:type="dxa" w:w="1152"/>
          </w:tcPr>
          <w:p>
            <w:pPr>
              <w:jc w:val="right"/>
            </w:pPr>
            <w:r/>
            <w:r>
              <w:rPr>
                <w:sz w:val="16"/>
              </w:rPr>
              <w:t>$1,000K</w:t>
            </w:r>
          </w:p>
        </w:tc>
        <w:tc>
          <w:tcPr>
            <w:tcW w:type="dxa" w:w="2664"/>
          </w:tcPr>
          <w:p>
            <w:r/>
            <w:r>
              <w:rPr>
                <w:sz w:val="16"/>
              </w:rPr>
              <w:t>EAI units issued as part of Exos's</w:t>
            </w:r>
            <w:r>
              <w:br/>
            </w:r>
            <w:r>
              <w:rPr>
                <w:sz w:val="16"/>
              </w:rPr>
              <w:t>Rule 504 offering, at the 409A value;</w:t>
            </w:r>
            <w:r>
              <w:br/>
            </w:r>
            <w:r>
              <w:rPr>
                <w:sz w:val="16"/>
              </w:rPr>
              <w:t>$1.0M counts toward Rule 504 $10M cap;</w:t>
            </w:r>
            <w:r>
              <w:br/>
            </w:r>
            <w:r>
              <w:rPr>
                <w:sz w:val="16"/>
              </w:rPr>
              <w:t>issued at financing close</w:t>
            </w:r>
          </w:p>
        </w:tc>
      </w:tr>
      <w:tr>
        <w:tc>
          <w:tcPr>
            <w:tcW w:type="dxa" w:w="3240"/>
            <w:shd w:val="clear" w:color="auto" w:fill="F3F4F6"/>
          </w:tcPr>
          <w:p>
            <w:r/>
            <w:r>
              <w:rPr>
                <w:b/>
                <w:sz w:val="16"/>
              </w:rPr>
              <w:t>② Total at financing close (① + equity)</w:t>
            </w:r>
          </w:p>
        </w:tc>
        <w:tc>
          <w:tcPr>
            <w:tcW w:type="dxa" w:w="1152"/>
            <w:shd w:val="clear" w:color="auto" w:fill="F3F4F6"/>
          </w:tcPr>
          <w:p>
            <w:pPr>
              <w:jc w:val="right"/>
            </w:pPr>
            <w:r/>
            <w:r>
              <w:rPr>
                <w:b/>
                <w:sz w:val="16"/>
              </w:rPr>
              <w:t>$5,360K</w:t>
            </w:r>
          </w:p>
        </w:tc>
        <w:tc>
          <w:tcPr>
            <w:tcW w:type="dxa" w:w="1152"/>
            <w:shd w:val="clear" w:color="auto" w:fill="F3F4F6"/>
          </w:tcPr>
          <w:p>
            <w:pPr>
              <w:jc w:val="right"/>
            </w:pPr>
            <w:r/>
            <w:r>
              <w:rPr>
                <w:b/>
                <w:sz w:val="16"/>
              </w:rPr>
              <w:t>$5,360K</w:t>
            </w:r>
          </w:p>
        </w:tc>
        <w:tc>
          <w:tcPr>
            <w:tcW w:type="dxa" w:w="1152"/>
            <w:shd w:val="clear" w:color="auto" w:fill="F3F4F6"/>
          </w:tcPr>
          <w:p>
            <w:pPr>
              <w:jc w:val="right"/>
            </w:pPr>
            <w:r/>
            <w:r>
              <w:rPr>
                <w:b/>
                <w:sz w:val="16"/>
              </w:rPr>
              <w:t>$5,360K</w:t>
            </w:r>
          </w:p>
        </w:tc>
        <w:tc>
          <w:tcPr>
            <w:tcW w:type="dxa" w:w="2664"/>
            <w:shd w:val="clear" w:color="auto" w:fill="F3F4F6"/>
          </w:tcPr>
          <w:p>
            <w:r/>
            <w:r>
              <w:rPr>
                <w:b/>
                <w:sz w:val="16"/>
              </w:rPr>
            </w:r>
          </w:p>
        </w:tc>
      </w:tr>
      <w:tr>
        <w:tc>
          <w:tcPr>
            <w:tcW w:type="dxa" w:w="3240"/>
          </w:tcPr>
          <w:p>
            <w:r/>
            <w:r>
              <w:rPr>
                <w:sz w:val="16"/>
              </w:rPr>
              <w:t>Tank earn-out (5 yrs, 5%/yr,</w:t>
            </w:r>
            <w:r>
              <w:br/>
            </w:r>
            <w:r>
              <w:rPr>
                <w:sz w:val="16"/>
              </w:rPr>
              <w:t>cap $300K/yr)</w:t>
            </w:r>
          </w:p>
        </w:tc>
        <w:tc>
          <w:tcPr>
            <w:tcW w:type="dxa" w:w="1152"/>
          </w:tcPr>
          <w:p>
            <w:pPr>
              <w:jc w:val="right"/>
            </w:pPr>
            <w:r/>
            <w:r>
              <w:rPr>
                <w:sz w:val="16"/>
              </w:rPr>
              <w:t>$750K</w:t>
            </w:r>
          </w:p>
        </w:tc>
        <w:tc>
          <w:tcPr>
            <w:tcW w:type="dxa" w:w="1152"/>
          </w:tcPr>
          <w:p>
            <w:pPr>
              <w:jc w:val="right"/>
            </w:pPr>
            <w:r/>
            <w:r>
              <w:rPr>
                <w:sz w:val="16"/>
              </w:rPr>
              <w:t>$1,250K</w:t>
            </w:r>
          </w:p>
        </w:tc>
        <w:tc>
          <w:tcPr>
            <w:tcW w:type="dxa" w:w="1152"/>
          </w:tcPr>
          <w:p>
            <w:pPr>
              <w:jc w:val="right"/>
            </w:pPr>
            <w:r/>
            <w:r>
              <w:rPr>
                <w:sz w:val="16"/>
              </w:rPr>
              <w:t>$1,500K</w:t>
            </w:r>
          </w:p>
        </w:tc>
        <w:tc>
          <w:tcPr>
            <w:tcW w:type="dxa" w:w="2664"/>
          </w:tcPr>
          <w:p>
            <w:r/>
            <w:r>
              <w:rPr>
                <w:sz w:val="16"/>
              </w:rPr>
              <w:t>FY27–FY31; low 3%/base 5%/high</w:t>
            </w:r>
            <w:r>
              <w:br/>
            </w:r>
            <w:r>
              <w:rPr>
                <w:sz w:val="16"/>
              </w:rPr>
              <w:t>7% × IM rev; $300K/yr cap</w:t>
            </w:r>
          </w:p>
        </w:tc>
      </w:tr>
      <w:tr>
        <w:tc>
          <w:tcPr>
            <w:tcW w:type="dxa" w:w="3240"/>
            <w:shd w:val="clear" w:color="auto" w:fill="EFF6FF"/>
          </w:tcPr>
          <w:p>
            <w:r/>
            <w:r>
              <w:rPr>
                <w:sz w:val="16"/>
              </w:rPr>
              <w:t>Milestone M1: SSLC FY2026-27 rev</w:t>
            </w:r>
            <w:r>
              <w:br/>
            </w:r>
            <w:r>
              <w:rPr>
                <w:sz w:val="16"/>
              </w:rPr>
              <w:t>≥$5.1M</w:t>
            </w:r>
          </w:p>
        </w:tc>
        <w:tc>
          <w:tcPr>
            <w:tcW w:type="dxa" w:w="1152"/>
            <w:shd w:val="clear" w:color="auto" w:fill="EFF6FF"/>
          </w:tcPr>
          <w:p>
            <w:pPr>
              <w:jc w:val="right"/>
            </w:pPr>
            <w:r/>
            <w:r>
              <w:rPr>
                <w:sz w:val="16"/>
              </w:rPr>
              <w:t>$200K</w:t>
            </w:r>
          </w:p>
        </w:tc>
        <w:tc>
          <w:tcPr>
            <w:tcW w:type="dxa" w:w="1152"/>
            <w:shd w:val="clear" w:color="auto" w:fill="EFF6FF"/>
          </w:tcPr>
          <w:p>
            <w:pPr>
              <w:jc w:val="right"/>
            </w:pPr>
            <w:r/>
            <w:r>
              <w:rPr>
                <w:sz w:val="16"/>
              </w:rPr>
              <w:t>$200K</w:t>
            </w:r>
          </w:p>
        </w:tc>
        <w:tc>
          <w:tcPr>
            <w:tcW w:type="dxa" w:w="1152"/>
            <w:shd w:val="clear" w:color="auto" w:fill="EFF6FF"/>
          </w:tcPr>
          <w:p>
            <w:pPr>
              <w:jc w:val="right"/>
            </w:pPr>
            <w:r/>
            <w:r>
              <w:rPr>
                <w:sz w:val="16"/>
              </w:rPr>
              <w:t>$200K</w:t>
            </w:r>
          </w:p>
        </w:tc>
        <w:tc>
          <w:tcPr>
            <w:tcW w:type="dxa" w:w="2664"/>
            <w:shd w:val="clear" w:color="auto" w:fill="EFF6FF"/>
          </w:tcPr>
          <w:p>
            <w:r/>
            <w:r>
              <w:rPr>
                <w:sz w:val="16"/>
              </w:rPr>
              <w:t>Pays FY28 Q1 if verified</w:t>
            </w:r>
            <w:r>
              <w:br/>
            </w:r>
            <w:r>
              <w:rPr>
                <w:sz w:val="16"/>
              </w:rPr>
              <w:t>(all scenarios: mgmt base case)</w:t>
            </w:r>
          </w:p>
        </w:tc>
      </w:tr>
      <w:tr>
        <w:tc>
          <w:tcPr>
            <w:tcW w:type="dxa" w:w="3240"/>
            <w:shd w:val="clear" w:color="auto" w:fill="EFF6FF"/>
          </w:tcPr>
          <w:p>
            <w:r/>
            <w:r>
              <w:rPr>
                <w:sz w:val="16"/>
              </w:rPr>
              <w:t>Milestone M2: Nebula/OTV production</w:t>
            </w:r>
            <w:r>
              <w:br/>
            </w:r>
            <w:r>
              <w:rPr>
                <w:sz w:val="16"/>
              </w:rPr>
              <w:t>contract signed</w:t>
            </w:r>
          </w:p>
        </w:tc>
        <w:tc>
          <w:tcPr>
            <w:tcW w:type="dxa" w:w="1152"/>
            <w:shd w:val="clear" w:color="auto" w:fill="EFF6FF"/>
          </w:tcPr>
          <w:p>
            <w:pPr>
              <w:jc w:val="right"/>
            </w:pPr>
            <w:r/>
            <w:r>
              <w:rPr>
                <w:sz w:val="16"/>
              </w:rPr>
              <w:t>—</w:t>
            </w:r>
          </w:p>
        </w:tc>
        <w:tc>
          <w:tcPr>
            <w:tcW w:type="dxa" w:w="1152"/>
            <w:shd w:val="clear" w:color="auto" w:fill="EFF6FF"/>
          </w:tcPr>
          <w:p>
            <w:pPr>
              <w:jc w:val="right"/>
            </w:pPr>
            <w:r/>
            <w:r>
              <w:rPr>
                <w:sz w:val="16"/>
              </w:rPr>
              <w:t>$200K</w:t>
            </w:r>
          </w:p>
        </w:tc>
        <w:tc>
          <w:tcPr>
            <w:tcW w:type="dxa" w:w="1152"/>
            <w:shd w:val="clear" w:color="auto" w:fill="EFF6FF"/>
          </w:tcPr>
          <w:p>
            <w:pPr>
              <w:jc w:val="right"/>
            </w:pPr>
            <w:r/>
            <w:r>
              <w:rPr>
                <w:sz w:val="16"/>
              </w:rPr>
              <w:t>$200K</w:t>
            </w:r>
          </w:p>
        </w:tc>
        <w:tc>
          <w:tcPr>
            <w:tcW w:type="dxa" w:w="2664"/>
            <w:shd w:val="clear" w:color="auto" w:fill="EFF6FF"/>
          </w:tcPr>
          <w:p>
            <w:r/>
            <w:r>
              <w:rPr>
                <w:sz w:val="16"/>
              </w:rPr>
              <w:t>Pays at contract execution</w:t>
            </w:r>
            <w:r>
              <w:br/>
            </w:r>
            <w:r>
              <w:rPr>
                <w:sz w:val="16"/>
              </w:rPr>
              <w:t>(any year FY27–FY30)</w:t>
            </w:r>
          </w:p>
        </w:tc>
      </w:tr>
      <w:tr>
        <w:tc>
          <w:tcPr>
            <w:tcW w:type="dxa" w:w="3240"/>
            <w:shd w:val="clear" w:color="auto" w:fill="EFF6FF"/>
          </w:tcPr>
          <w:p>
            <w:r/>
            <w:r>
              <w:rPr>
                <w:sz w:val="16"/>
              </w:rPr>
              <w:t>Milestone M3: SSLC annual rev ≥$10M</w:t>
            </w:r>
          </w:p>
        </w:tc>
        <w:tc>
          <w:tcPr>
            <w:tcW w:type="dxa" w:w="1152"/>
            <w:shd w:val="clear" w:color="auto" w:fill="EFF6FF"/>
          </w:tcPr>
          <w:p>
            <w:pPr>
              <w:jc w:val="right"/>
            </w:pPr>
            <w:r/>
            <w:r>
              <w:rPr>
                <w:sz w:val="16"/>
              </w:rPr>
              <w:t>—</w:t>
            </w:r>
          </w:p>
        </w:tc>
        <w:tc>
          <w:tcPr>
            <w:tcW w:type="dxa" w:w="1152"/>
            <w:shd w:val="clear" w:color="auto" w:fill="EFF6FF"/>
          </w:tcPr>
          <w:p>
            <w:pPr>
              <w:jc w:val="right"/>
            </w:pPr>
            <w:r/>
            <w:r>
              <w:rPr>
                <w:sz w:val="16"/>
              </w:rPr>
              <w:t>$250K</w:t>
            </w:r>
          </w:p>
        </w:tc>
        <w:tc>
          <w:tcPr>
            <w:tcW w:type="dxa" w:w="1152"/>
            <w:shd w:val="clear" w:color="auto" w:fill="EFF6FF"/>
          </w:tcPr>
          <w:p>
            <w:pPr>
              <w:jc w:val="right"/>
            </w:pPr>
            <w:r/>
            <w:r>
              <w:rPr>
                <w:sz w:val="16"/>
              </w:rPr>
              <w:t>$250K</w:t>
            </w:r>
          </w:p>
        </w:tc>
        <w:tc>
          <w:tcPr>
            <w:tcW w:type="dxa" w:w="2664"/>
            <w:shd w:val="clear" w:color="auto" w:fill="EFF6FF"/>
          </w:tcPr>
          <w:p>
            <w:r/>
            <w:r>
              <w:rPr>
                <w:sz w:val="16"/>
              </w:rPr>
              <w:t>Pays first year threshold hit</w:t>
            </w:r>
            <w:r>
              <w:br/>
            </w:r>
            <w:r>
              <w:rPr>
                <w:sz w:val="16"/>
              </w:rPr>
              <w:t>(est. FY29 at base/high)</w:t>
            </w:r>
          </w:p>
        </w:tc>
      </w:tr>
      <w:tr>
        <w:tc>
          <w:tcPr>
            <w:tcW w:type="dxa" w:w="3240"/>
            <w:shd w:val="clear" w:color="auto" w:fill="EFF6FF"/>
          </w:tcPr>
          <w:p>
            <w:r/>
            <w:r>
              <w:rPr>
                <w:sz w:val="16"/>
              </w:rPr>
              <w:t>Milestone M4: SSLC annual rev ≥$20M</w:t>
            </w:r>
          </w:p>
        </w:tc>
        <w:tc>
          <w:tcPr>
            <w:tcW w:type="dxa" w:w="1152"/>
            <w:shd w:val="clear" w:color="auto" w:fill="EFF6FF"/>
          </w:tcPr>
          <w:p>
            <w:pPr>
              <w:jc w:val="right"/>
            </w:pPr>
            <w:r/>
            <w:r>
              <w:rPr>
                <w:sz w:val="16"/>
              </w:rPr>
              <w:t>—</w:t>
            </w:r>
          </w:p>
        </w:tc>
        <w:tc>
          <w:tcPr>
            <w:tcW w:type="dxa" w:w="1152"/>
            <w:shd w:val="clear" w:color="auto" w:fill="EFF6FF"/>
          </w:tcPr>
          <w:p>
            <w:pPr>
              <w:jc w:val="right"/>
            </w:pPr>
            <w:r/>
            <w:r>
              <w:rPr>
                <w:sz w:val="16"/>
              </w:rPr>
              <w:t>—</w:t>
            </w:r>
          </w:p>
        </w:tc>
        <w:tc>
          <w:tcPr>
            <w:tcW w:type="dxa" w:w="1152"/>
            <w:shd w:val="clear" w:color="auto" w:fill="EFF6FF"/>
          </w:tcPr>
          <w:p>
            <w:pPr>
              <w:jc w:val="right"/>
            </w:pPr>
            <w:r/>
            <w:r>
              <w:rPr>
                <w:sz w:val="16"/>
              </w:rPr>
              <w:t>$250K</w:t>
            </w:r>
          </w:p>
        </w:tc>
        <w:tc>
          <w:tcPr>
            <w:tcW w:type="dxa" w:w="2664"/>
            <w:shd w:val="clear" w:color="auto" w:fill="EFF6FF"/>
          </w:tcPr>
          <w:p>
            <w:r/>
            <w:r>
              <w:rPr>
                <w:sz w:val="16"/>
              </w:rPr>
              <w:t>Pays first year threshold hit</w:t>
            </w:r>
            <w:r>
              <w:br/>
            </w:r>
            <w:r>
              <w:rPr>
                <w:sz w:val="16"/>
              </w:rPr>
              <w:t>(est. FY31 at high)</w:t>
            </w:r>
          </w:p>
        </w:tc>
      </w:tr>
      <w:tr>
        <w:tc>
          <w:tcPr>
            <w:tcW w:type="dxa" w:w="3240"/>
            <w:shd w:val="clear" w:color="auto" w:fill="EFF6FF"/>
          </w:tcPr>
          <w:p>
            <w:r/>
            <w:r>
              <w:rPr>
                <w:sz w:val="16"/>
              </w:rPr>
              <w:t>Milestone M5: BLK3 tank qualification</w:t>
            </w:r>
            <w:r>
              <w:br/>
            </w:r>
            <w:r>
              <w:rPr>
                <w:sz w:val="16"/>
              </w:rPr>
              <w:t>complete</w:t>
            </w:r>
          </w:p>
        </w:tc>
        <w:tc>
          <w:tcPr>
            <w:tcW w:type="dxa" w:w="1152"/>
            <w:shd w:val="clear" w:color="auto" w:fill="EFF6FF"/>
          </w:tcPr>
          <w:p>
            <w:pPr>
              <w:jc w:val="right"/>
            </w:pPr>
            <w:r/>
            <w:r>
              <w:rPr>
                <w:sz w:val="16"/>
              </w:rPr>
              <w:t>—</w:t>
            </w:r>
          </w:p>
        </w:tc>
        <w:tc>
          <w:tcPr>
            <w:tcW w:type="dxa" w:w="1152"/>
            <w:shd w:val="clear" w:color="auto" w:fill="EFF6FF"/>
          </w:tcPr>
          <w:p>
            <w:pPr>
              <w:jc w:val="right"/>
            </w:pPr>
            <w:r/>
            <w:r>
              <w:rPr>
                <w:sz w:val="16"/>
              </w:rPr>
              <w:t>—</w:t>
            </w:r>
          </w:p>
        </w:tc>
        <w:tc>
          <w:tcPr>
            <w:tcW w:type="dxa" w:w="1152"/>
            <w:shd w:val="clear" w:color="auto" w:fill="EFF6FF"/>
          </w:tcPr>
          <w:p>
            <w:pPr>
              <w:jc w:val="right"/>
            </w:pPr>
            <w:r/>
            <w:r>
              <w:rPr>
                <w:sz w:val="16"/>
              </w:rPr>
              <w:t>$200K</w:t>
            </w:r>
          </w:p>
        </w:tc>
        <w:tc>
          <w:tcPr>
            <w:tcW w:type="dxa" w:w="2664"/>
            <w:shd w:val="clear" w:color="auto" w:fill="EFF6FF"/>
          </w:tcPr>
          <w:p>
            <w:r/>
            <w:r>
              <w:rPr>
                <w:sz w:val="16"/>
              </w:rPr>
              <w:t>Pays at Exos BLK3 tank cert</w:t>
            </w:r>
            <w:r>
              <w:br/>
            </w:r>
            <w:r>
              <w:rPr>
                <w:sz w:val="16"/>
              </w:rPr>
              <w:t>(est. FY27–FY28)</w:t>
            </w:r>
          </w:p>
        </w:tc>
      </w:tr>
      <w:tr>
        <w:tc>
          <w:tcPr>
            <w:tcW w:type="dxa" w:w="3240"/>
          </w:tcPr>
          <w:p>
            <w:r/>
            <w:r>
              <w:rPr>
                <w:sz w:val="16"/>
              </w:rPr>
              <w:t>Exos stock earn-out at listing</w:t>
            </w:r>
            <w:r>
              <w:br/>
            </w:r>
            <w:r>
              <w:rPr>
                <w:sz w:val="16"/>
              </w:rPr>
              <w:t>(on top of ~0.59% EAI up-front)</w:t>
            </w:r>
          </w:p>
        </w:tc>
        <w:tc>
          <w:tcPr>
            <w:tcW w:type="dxa" w:w="1152"/>
          </w:tcPr>
          <w:p>
            <w:pPr>
              <w:jc w:val="right"/>
            </w:pPr>
            <w:r/>
            <w:r>
              <w:rPr>
                <w:sz w:val="16"/>
              </w:rPr>
              <w:t>$0</w:t>
            </w:r>
          </w:p>
        </w:tc>
        <w:tc>
          <w:tcPr>
            <w:tcW w:type="dxa" w:w="1152"/>
          </w:tcPr>
          <w:p>
            <w:pPr>
              <w:jc w:val="right"/>
            </w:pPr>
            <w:r/>
            <w:r>
              <w:rPr>
                <w:sz w:val="16"/>
              </w:rPr>
              <w:t>$625K</w:t>
            </w:r>
          </w:p>
        </w:tc>
        <w:tc>
          <w:tcPr>
            <w:tcW w:type="dxa" w:w="1152"/>
          </w:tcPr>
          <w:p>
            <w:pPr>
              <w:jc w:val="right"/>
            </w:pPr>
            <w:r/>
            <w:r>
              <w:rPr>
                <w:sz w:val="16"/>
              </w:rPr>
              <w:t>$1,500K</w:t>
            </w:r>
          </w:p>
        </w:tc>
        <w:tc>
          <w:tcPr>
            <w:tcW w:type="dxa" w:w="2664"/>
          </w:tcPr>
          <w:p>
            <w:r/>
            <w:r>
              <w:rPr>
                <w:sz w:val="16"/>
              </w:rPr>
              <w:t>Post-RTO ~FY29; earn-out 0.0%/0.25%/0.5% FD; lockup same as Exos principals.</w:t>
            </w:r>
            <w:r>
              <w:br/>
            </w:r>
            <w:r>
              <w:rPr>
                <w:sz w:val="16"/>
              </w:rPr>
              <w:t>At 409A: $0/$424K/$848K. Total Exos equity: ~0.59%/~0.84%/~1.09%.</w:t>
            </w:r>
          </w:p>
        </w:tc>
      </w:tr>
      <w:tr>
        <w:tc>
          <w:tcPr>
            <w:tcW w:type="dxa" w:w="3240"/>
            <w:shd w:val="clear" w:color="auto" w:fill="D1FAE5"/>
          </w:tcPr>
          <w:p>
            <w:r/>
            <w:r>
              <w:rPr>
                <w:b/>
                <w:sz w:val="16"/>
              </w:rPr>
              <w:t>③ TOTAL OFFER VALUE, 5-yr</w:t>
            </w:r>
            <w:r>
              <w:br/>
            </w:r>
            <w:r>
              <w:rPr>
                <w:b/>
                <w:sz w:val="16"/>
              </w:rPr>
              <w:t>(② + earn-outs; earn-out stock at listing)</w:t>
            </w:r>
          </w:p>
        </w:tc>
        <w:tc>
          <w:tcPr>
            <w:tcW w:type="dxa" w:w="1152"/>
            <w:shd w:val="clear" w:color="auto" w:fill="D1FAE5"/>
          </w:tcPr>
          <w:p>
            <w:pPr>
              <w:jc w:val="right"/>
            </w:pPr>
            <w:r/>
            <w:r>
              <w:rPr>
                <w:b/>
                <w:sz w:val="16"/>
              </w:rPr>
              <w:t>$6,310K</w:t>
            </w:r>
          </w:p>
        </w:tc>
        <w:tc>
          <w:tcPr>
            <w:tcW w:type="dxa" w:w="1152"/>
            <w:shd w:val="clear" w:color="auto" w:fill="D1FAE5"/>
          </w:tcPr>
          <w:p>
            <w:pPr>
              <w:jc w:val="right"/>
            </w:pPr>
            <w:r/>
            <w:r>
              <w:rPr>
                <w:b/>
                <w:sz w:val="16"/>
              </w:rPr>
              <w:t>$7,885K</w:t>
            </w:r>
          </w:p>
        </w:tc>
        <w:tc>
          <w:tcPr>
            <w:tcW w:type="dxa" w:w="1152"/>
            <w:shd w:val="clear" w:color="auto" w:fill="D1FAE5"/>
          </w:tcPr>
          <w:p>
            <w:pPr>
              <w:jc w:val="right"/>
            </w:pPr>
            <w:r/>
            <w:r>
              <w:rPr>
                <w:b/>
                <w:sz w:val="16"/>
              </w:rPr>
              <w:t>$9,460K</w:t>
            </w:r>
          </w:p>
        </w:tc>
        <w:tc>
          <w:tcPr>
            <w:tcW w:type="dxa" w:w="2664"/>
            <w:shd w:val="clear" w:color="auto" w:fill="D1FAE5"/>
          </w:tcPr>
          <w:p>
            <w:r/>
            <w:r>
              <w:rPr>
                <w:b/>
                <w:sz w:val="16"/>
              </w:rPr>
              <w:t>FY27–FY31. HIGH &lt; $10M target — not rebalanced.</w:t>
            </w:r>
          </w:p>
        </w:tc>
      </w:tr>
      <w:tr>
        <w:tc>
          <w:tcPr>
            <w:tcW w:type="dxa" w:w="3240"/>
            <w:shd w:val="clear" w:color="auto" w:fill="FBD2BC"/>
          </w:tcPr>
          <w:p>
            <w:r/>
            <w:r>
              <w:rPr>
                <w:b/>
                <w:color w:val="1F3A68"/>
                <w:sz w:val="16"/>
              </w:rPr>
              <w:t>IF HELD: all Exos stock projected</w:t>
            </w:r>
            <w:r>
              <w:br/>
            </w:r>
            <w:r>
              <w:rPr>
                <w:b/>
                <w:color w:val="1F3A68"/>
                <w:sz w:val="16"/>
              </w:rPr>
              <w:t>in FY2031 (replaces listing earn-out)</w:t>
            </w:r>
          </w:p>
        </w:tc>
        <w:tc>
          <w:tcPr>
            <w:tcW w:type="dxa" w:w="1152"/>
            <w:shd w:val="clear" w:color="auto" w:fill="FBD2BC"/>
          </w:tcPr>
          <w:p>
            <w:pPr>
              <w:jc w:val="right"/>
            </w:pPr>
            <w:r/>
            <w:r>
              <w:rPr>
                <w:b/>
                <w:color w:val="1F3A68"/>
                <w:sz w:val="16"/>
              </w:rPr>
              <w:t>$6.7M</w:t>
            </w:r>
          </w:p>
        </w:tc>
        <w:tc>
          <w:tcPr>
            <w:tcW w:type="dxa" w:w="1152"/>
            <w:shd w:val="clear" w:color="auto" w:fill="FBD2BC"/>
          </w:tcPr>
          <w:p>
            <w:pPr>
              <w:jc w:val="right"/>
            </w:pPr>
            <w:r/>
            <w:r>
              <w:rPr>
                <w:b/>
                <w:color w:val="1F3A68"/>
                <w:sz w:val="16"/>
              </w:rPr>
              <w:t>$9.6M</w:t>
            </w:r>
          </w:p>
        </w:tc>
        <w:tc>
          <w:tcPr>
            <w:tcW w:type="dxa" w:w="1152"/>
            <w:shd w:val="clear" w:color="auto" w:fill="FBD2BC"/>
          </w:tcPr>
          <w:p>
            <w:pPr>
              <w:jc w:val="right"/>
            </w:pPr>
            <w:r/>
            <w:r>
              <w:rPr>
                <w:b/>
                <w:color w:val="1F3A68"/>
                <w:sz w:val="16"/>
              </w:rPr>
              <w:t>$12.4M</w:t>
            </w:r>
          </w:p>
        </w:tc>
        <w:tc>
          <w:tcPr>
            <w:tcW w:type="dxa" w:w="2664"/>
            <w:shd w:val="clear" w:color="auto" w:fill="FBD2BC"/>
          </w:tcPr>
          <w:p>
            <w:r/>
            <w:r>
              <w:rPr>
                <w:b/>
                <w:color w:val="1F3A68"/>
                <w:sz w:val="16"/>
              </w:rPr>
              <w:t>Total stake ~0.59/0.84/1.09% → ~0.41/0.59/0.76% after</w:t>
            </w:r>
            <w:r>
              <w:br/>
            </w:r>
            <w:r>
              <w:rPr>
                <w:b/>
                <w:color w:val="1F3A68"/>
                <w:sz w:val="16"/>
              </w:rPr>
              <w:t>~30% dilution × ~$1.63B FY31 EV (16× v12 EBITDA).</w:t>
            </w:r>
            <w:r>
              <w:br/>
            </w:r>
            <w:r>
              <w:rPr>
                <w:b/>
                <w:color w:val="1F3A68"/>
                <w:sz w:val="16"/>
              </w:rPr>
              <w:t>Projection only; on SSLC-actuals case ~$0.7–1.3M.</w:t>
            </w:r>
          </w:p>
        </w:tc>
      </w:tr>
      <w:tr>
        <w:tc>
          <w:tcPr>
            <w:tcW w:type="dxa" w:w="3240"/>
            <w:shd w:val="clear" w:color="auto" w:fill="F26A21"/>
          </w:tcPr>
          <w:p>
            <w:r/>
            <w:r>
              <w:rPr>
                <w:b/>
                <w:color w:val="FFFFFF"/>
                <w:sz w:val="16"/>
              </w:rPr>
              <w:t>④ TOTAL IF STOCK HELD TO 2031</w:t>
            </w:r>
            <w:r>
              <w:br/>
            </w:r>
            <w:r>
              <w:rPr>
                <w:b/>
                <w:color w:val="FFFFFF"/>
                <w:sz w:val="16"/>
              </w:rPr>
              <w:t>(① + tank + milestones + 2031 stock)</w:t>
            </w:r>
          </w:p>
        </w:tc>
        <w:tc>
          <w:tcPr>
            <w:tcW w:type="dxa" w:w="1152"/>
            <w:shd w:val="clear" w:color="auto" w:fill="F26A21"/>
          </w:tcPr>
          <w:p>
            <w:pPr>
              <w:jc w:val="right"/>
            </w:pPr>
            <w:r/>
            <w:r>
              <w:rPr>
                <w:b/>
                <w:color w:val="FFFFFF"/>
                <w:sz w:val="16"/>
              </w:rPr>
              <w:t>$12.0M</w:t>
            </w:r>
          </w:p>
        </w:tc>
        <w:tc>
          <w:tcPr>
            <w:tcW w:type="dxa" w:w="1152"/>
            <w:shd w:val="clear" w:color="auto" w:fill="F26A21"/>
          </w:tcPr>
          <w:p>
            <w:pPr>
              <w:jc w:val="right"/>
            </w:pPr>
            <w:r/>
            <w:r>
              <w:rPr>
                <w:b/>
                <w:color w:val="FFFFFF"/>
                <w:sz w:val="16"/>
              </w:rPr>
              <w:t>$15.8M</w:t>
            </w:r>
          </w:p>
        </w:tc>
        <w:tc>
          <w:tcPr>
            <w:tcW w:type="dxa" w:w="1152"/>
            <w:shd w:val="clear" w:color="auto" w:fill="F26A21"/>
          </w:tcPr>
          <w:p>
            <w:pPr>
              <w:jc w:val="right"/>
            </w:pPr>
            <w:r/>
            <w:r>
              <w:rPr>
                <w:b/>
                <w:color w:val="FFFFFF"/>
                <w:sz w:val="16"/>
              </w:rPr>
              <w:t>$19.4M</w:t>
            </w:r>
          </w:p>
        </w:tc>
        <w:tc>
          <w:tcPr>
            <w:tcW w:type="dxa" w:w="2664"/>
            <w:shd w:val="clear" w:color="auto" w:fill="F26A21"/>
          </w:tcPr>
          <w:p>
            <w:r/>
            <w:r>
              <w:rPr>
                <w:b/>
                <w:color w:val="FFFFFF"/>
                <w:sz w:val="16"/>
              </w:rPr>
              <w:t>Alternative to ③, NOT added to it. Forward-looking</w:t>
            </w:r>
            <w:r>
              <w:br/>
            </w:r>
            <w:r>
              <w:rPr>
                <w:b/>
                <w:color w:val="FFFFFF"/>
                <w:sz w:val="16"/>
              </w:rPr>
              <w:t>projection, not a promise; RTO may not close.</w:t>
            </w:r>
          </w:p>
        </w:tc>
      </w:tr>
    </w:tbl>
    <w:p>
      <w:pPr>
        <w:spacing w:after="60" w:before="0"/>
      </w:pPr>
    </w:p>
    <w:p>
      <w:pPr>
        <w:spacing w:after="40" w:before="0"/>
      </w:pPr>
      <w:r>
        <w:rPr>
          <w:b w:val="0"/>
          <w:i/>
          <w:color w:val="606060"/>
          <w:sz w:val="17"/>
        </w:rPr>
        <w:t>Why this structure: SSLC holders receive real Exos equity at close ($1.0M EAI units, ~0.59% of $169.7M 409A, issued as part of Exos's Rule 504 offering) — not only contingent upside. It aligns them with Exos immediately. The earn-out stock stays 0.0–0.5%, so total equity is ~0.59–1.09%.</w:t>
      </w:r>
    </w:p>
    <w:p>
      <w:pPr>
        <w:spacing w:after="40" w:before="0"/>
      </w:pPr>
      <w:r>
        <w:rPr>
          <w:b w:val="0"/>
          <w:i/>
          <w:color w:val="606060"/>
          <w:sz w:val="17"/>
        </w:rPr>
        <w:t>Chart: SSLC_OptionB_Total_Compensation_5yr_2026-10-07.png  ·  Full model: EXOS_SSLC_OptionB_Acquisition_Model_2026-10-07.xlsx → 'Total Compensation' sheet  ·  IM program continuity: Exos-SSLC continues the Intuitive Machines contract with no delivery interruption.</w:t>
      </w:r>
    </w:p>
    <w:p>
      <w:pPr>
        <w:keepNext/>
        <w:spacing w:after="60" w:before="60"/>
      </w:pPr>
      <w:r>
        <w:rPr>
          <w:b/>
          <w:i w:val="0"/>
          <w:color w:val="1F3A68"/>
          <w:sz w:val="24"/>
        </w:rPr>
        <w:t>3.  Key Terms</w:t>
      </w:r>
    </w:p>
    <w:tbl>
      <w:tblPr>
        <w:tblW w:type="auto" w:w="0"/>
        <w:jc w:val="center"/>
        <w:tblLayout w:type="fixed"/>
        <w:tblLook w:firstColumn="1" w:firstRow="1" w:lastColumn="0" w:lastRow="0" w:noHBand="0" w:noVBand="1" w:val="04A0"/>
      </w:tblPr>
      <w:tblGrid>
        <w:gridCol w:w="2736"/>
        <w:gridCol w:w="5903"/>
      </w:tblGrid>
      <w:tr>
        <w:tc>
          <w:tcPr>
            <w:tcW w:type="dxa" w:w="2736"/>
            <w:shd w:val="clear" w:color="auto" w:fill="1F3A68"/>
          </w:tcPr>
          <w:p>
            <w:r/>
            <w:r>
              <w:rPr>
                <w:b/>
                <w:color w:val="FFFFFF"/>
                <w:sz w:val="18"/>
              </w:rPr>
              <w:t>Term</w:t>
            </w:r>
          </w:p>
        </w:tc>
        <w:tc>
          <w:tcPr>
            <w:tcW w:type="dxa" w:w="5904"/>
            <w:shd w:val="clear" w:color="auto" w:fill="1F3A68"/>
          </w:tcPr>
          <w:p>
            <w:r/>
            <w:r>
              <w:rPr>
                <w:b/>
                <w:color w:val="FFFFFF"/>
                <w:sz w:val="18"/>
              </w:rPr>
              <w:t>Detail</w:t>
            </w:r>
          </w:p>
        </w:tc>
      </w:tr>
      <w:tr>
        <w:tc>
          <w:tcPr>
            <w:tcW w:type="dxa" w:w="2736"/>
          </w:tcPr>
          <w:p>
            <w:r/>
            <w:r>
              <w:rPr>
                <w:b/>
                <w:sz w:val="18"/>
              </w:rPr>
              <w:t>Agreement basis</w:t>
            </w:r>
          </w:p>
        </w:tc>
        <w:tc>
          <w:tcPr>
            <w:tcW w:type="dxa" w:w="5904"/>
          </w:tcPr>
          <w:p>
            <w:r/>
            <w:r>
              <w:rPr>
                <w:sz w:val="18"/>
              </w:rPr>
              <w:t>May 2025 Asset Acquisition Agreement, §3 exclusivity trigger</w:t>
            </w:r>
          </w:p>
        </w:tc>
      </w:tr>
      <w:tr>
        <w:tc>
          <w:tcPr>
            <w:tcW w:type="dxa" w:w="2736"/>
          </w:tcPr>
          <w:p>
            <w:r/>
            <w:r>
              <w:rPr>
                <w:b/>
                <w:sz w:val="18"/>
              </w:rPr>
              <w:t>Total commitment</w:t>
            </w:r>
          </w:p>
        </w:tc>
        <w:tc>
          <w:tcPr>
            <w:tcW w:type="dxa" w:w="5904"/>
          </w:tcPr>
          <w:p>
            <w:r/>
            <w:r>
              <w:rPr>
                <w:sz w:val="18"/>
              </w:rPr>
              <w:t>$5,360,000 base at close ($2.51M cash + $60K costs + $790K Exos stake credit + $500K WC + $1.0M EAI equity at 409A, Rule 504)</w:t>
            </w:r>
          </w:p>
        </w:tc>
      </w:tr>
      <w:tr>
        <w:tc>
          <w:tcPr>
            <w:tcW w:type="dxa" w:w="2736"/>
          </w:tcPr>
          <w:p>
            <w:r/>
            <w:r>
              <w:rPr>
                <w:b/>
                <w:sz w:val="18"/>
              </w:rPr>
              <w:t>Exclusivity period</w:t>
            </w:r>
          </w:p>
        </w:tc>
        <w:tc>
          <w:tcPr>
            <w:tcW w:type="dxa" w:w="5904"/>
          </w:tcPr>
          <w:p>
            <w:r/>
            <w:r>
              <w:rPr>
                <w:sz w:val="18"/>
              </w:rPr>
              <w:t>90 days from SSLC confirmation; extension not unreasonably withheld (§3)</w:t>
            </w:r>
          </w:p>
        </w:tc>
      </w:tr>
      <w:tr>
        <w:tc>
          <w:tcPr>
            <w:tcW w:type="dxa" w:w="2736"/>
          </w:tcPr>
          <w:p>
            <w:r/>
            <w:r>
              <w:rPr>
                <w:b/>
                <w:sz w:val="18"/>
              </w:rPr>
              <w:t>Holdback (§7)</w:t>
            </w:r>
          </w:p>
        </w:tc>
        <w:tc>
          <w:tcPr>
            <w:tcW w:type="dxa" w:w="5904"/>
          </w:tcPr>
          <w:p>
            <w:r/>
            <w:r>
              <w:rPr>
                <w:sz w:val="18"/>
              </w:rPr>
              <w:t>5% escrow, released at 12-month anniversary</w:t>
            </w:r>
          </w:p>
        </w:tc>
      </w:tr>
      <w:tr>
        <w:tc>
          <w:tcPr>
            <w:tcW w:type="dxa" w:w="2736"/>
          </w:tcPr>
          <w:p>
            <w:r/>
            <w:r>
              <w:rPr>
                <w:b/>
                <w:sz w:val="18"/>
              </w:rPr>
              <w:t>SSLC debts assumed</w:t>
            </w:r>
          </w:p>
        </w:tc>
        <w:tc>
          <w:tcPr>
            <w:tcW w:type="dxa" w:w="5904"/>
          </w:tcPr>
          <w:p>
            <w:r/>
            <w:r>
              <w:rPr>
                <w:sz w:val="18"/>
              </w:rPr>
              <w:t>Paid at face at close (est. ~$500K; verify QuickBooks)</w:t>
            </w:r>
          </w:p>
        </w:tc>
      </w:tr>
      <w:tr>
        <w:tc>
          <w:tcPr>
            <w:tcW w:type="dxa" w:w="2736"/>
          </w:tcPr>
          <w:p>
            <w:r/>
            <w:r>
              <w:rPr>
                <w:b/>
                <w:sz w:val="18"/>
              </w:rPr>
              <w:t>Status</w:t>
            </w:r>
          </w:p>
        </w:tc>
        <w:tc>
          <w:tcPr>
            <w:tcW w:type="dxa" w:w="5904"/>
          </w:tcPr>
          <w:p>
            <w:r/>
            <w:r>
              <w:rPr>
                <w:sz w:val="18"/>
              </w:rPr>
              <w:t>DRAFT — NEGOTIATING TERMS — not a final or binding offer</w:t>
            </w:r>
          </w:p>
        </w:tc>
      </w:tr>
    </w:tbl>
    <w:p>
      <w:pPr>
        <w:spacing w:after="60" w:before="0"/>
      </w:pPr>
    </w:p>
    <w:p>
      <w:pPr>
        <w:spacing w:after="40" w:before="0"/>
      </w:pPr>
      <w:r>
        <w:rPr>
          <w:b w:val="0"/>
          <w:i/>
          <w:color w:val="606060"/>
          <w:sz w:val="17"/>
        </w:rPr>
        <w:t>504 cap: $1.0M counts toward the Rule 504 $10M rolling 12-month cap; confirm remaining capacity. Rule 504 is U.S.-only; EAI units in the Japan round are Reg S — the two must remain distinct. See model → 'EAI Lockup &amp; Liquidity' sheet for full detail.</w:t>
      </w:r>
    </w:p>
    <w:p>
      <w:pPr>
        <w:keepNext/>
        <w:spacing w:after="60" w:before="60"/>
      </w:pPr>
      <w:r>
        <w:rPr>
          <w:b/>
          <w:i w:val="0"/>
          <w:color w:val="1F3A68"/>
          <w:sz w:val="24"/>
        </w:rPr>
        <w:t>4.  EAI Unit Lockup &amp; Liquidity</w:t>
      </w:r>
    </w:p>
    <w:p>
      <w:pPr>
        <w:spacing w:after="40" w:before="0"/>
        <w:ind w:left="288"/>
      </w:pPr>
      <w:r>
        <w:t xml:space="preserve">•  </w:t>
      </w:r>
      <w:r>
        <w:rPr>
          <w:b/>
        </w:rPr>
        <w:t xml:space="preserve">Part of the public float at going public.  </w:t>
      </w:r>
      <w:r>
        <w:t>The $1.0M EAI units are structured to provide part of the float for the Exos RTO and become tradeable at going public (the RTO listing), subject to the same lockup as Exos principals. Specific lock terms are set in the RTO definitive agreement.</w:t>
      </w:r>
    </w:p>
    <w:p>
      <w:pPr>
        <w:spacing w:after="40" w:before="0"/>
        <w:ind w:left="288"/>
      </w:pPr>
      <w:r>
        <w:t xml:space="preserve">•  </w:t>
      </w:r>
      <w:r>
        <w:rPr>
          <w:b/>
        </w:rPr>
        <w:t xml:space="preserve">Restricted at issuance — Rule 504 Reg D.  </w:t>
      </w:r>
      <w:r>
        <w:t>Units carry a restrictive legend at issuance and are not freely tradeable prior to the RTO listing. Rule 504 ref: https://www.sec.gov/resources-small-businesses/exempt-offerings/exemption-limited-offerings-not-exceeding-10-million-rule-504-regulation-d</w:t>
      </w:r>
    </w:p>
    <w:tbl>
      <w:tblPr>
        <w:tblW w:type="auto" w:w="0"/>
        <w:jc w:val="center"/>
        <w:tblLayout w:type="fixed"/>
        <w:tblLook w:firstColumn="1" w:firstRow="1" w:lastColumn="0" w:lastRow="0" w:noHBand="0" w:noVBand="1" w:val="04A0"/>
      </w:tblPr>
      <w:tblGrid>
        <w:gridCol w:w="3744"/>
        <w:gridCol w:w="5616"/>
      </w:tblGrid>
      <w:tr>
        <w:tc>
          <w:tcPr>
            <w:tcW w:type="dxa" w:w="3744"/>
            <w:shd w:val="clear" w:color="auto" w:fill="375623"/>
          </w:tcPr>
          <w:p>
            <w:r/>
            <w:r>
              <w:rPr>
                <w:b/>
                <w:color w:val="FFFFFF"/>
                <w:sz w:val="18"/>
              </w:rPr>
              <w:t>Milestone</w:t>
            </w:r>
          </w:p>
        </w:tc>
        <w:tc>
          <w:tcPr>
            <w:tcW w:type="dxa" w:w="5616"/>
            <w:shd w:val="clear" w:color="auto" w:fill="375623"/>
          </w:tcPr>
          <w:p>
            <w:r/>
            <w:r>
              <w:rPr>
                <w:b/>
                <w:color w:val="FFFFFF"/>
                <w:sz w:val="18"/>
              </w:rPr>
              <w:t>Target / Status</w:t>
            </w:r>
          </w:p>
        </w:tc>
      </w:tr>
      <w:tr>
        <w:tc>
          <w:tcPr>
            <w:tcW w:type="dxa" w:w="3744"/>
          </w:tcPr>
          <w:p>
            <w:r/>
            <w:r>
              <w:rPr>
                <w:b/>
                <w:sz w:val="18"/>
              </w:rPr>
              <w:t>Board acceptance</w:t>
            </w:r>
          </w:p>
        </w:tc>
        <w:tc>
          <w:tcPr>
            <w:tcW w:type="dxa" w:w="5616"/>
          </w:tcPr>
          <w:p>
            <w:r/>
            <w:r>
              <w:rPr>
                <w:sz w:val="18"/>
              </w:rPr>
              <w:t>D+0 — units committed; not yet issued</w:t>
            </w:r>
          </w:p>
        </w:tc>
      </w:tr>
      <w:tr>
        <w:tc>
          <w:tcPr>
            <w:tcW w:type="dxa" w:w="3744"/>
          </w:tcPr>
          <w:p>
            <w:r/>
            <w:r>
              <w:rPr>
                <w:b/>
                <w:sz w:val="18"/>
              </w:rPr>
              <w:t>Financing close — units issued</w:t>
            </w:r>
          </w:p>
        </w:tc>
        <w:tc>
          <w:tcPr>
            <w:tcW w:type="dxa" w:w="5616"/>
          </w:tcPr>
          <w:p>
            <w:r/>
            <w:r>
              <w:rPr>
                <w:sz w:val="18"/>
              </w:rPr>
              <w:t>Targeted Q1 FY27; units issued as restricted/legended securities</w:t>
            </w:r>
          </w:p>
        </w:tc>
      </w:tr>
      <w:tr>
        <w:tc>
          <w:tcPr>
            <w:tcW w:type="dxa" w:w="3744"/>
          </w:tcPr>
          <w:p>
            <w:r/>
            <w:r>
              <w:rPr>
                <w:b/>
                <w:sz w:val="18"/>
              </w:rPr>
              <w:t>Targeted RTO close</w:t>
            </w:r>
          </w:p>
        </w:tc>
        <w:tc>
          <w:tcPr>
            <w:tcW w:type="dxa" w:w="5616"/>
          </w:tcPr>
          <w:p>
            <w:r/>
            <w:r>
              <w:rPr>
                <w:sz w:val="18"/>
              </w:rPr>
              <w:t>~6 months post-financing (targeted, not assured)</w:t>
            </w:r>
          </w:p>
        </w:tc>
      </w:tr>
      <w:tr>
        <w:tc>
          <w:tcPr>
            <w:tcW w:type="dxa" w:w="3744"/>
          </w:tcPr>
          <w:p>
            <w:r/>
            <w:r>
              <w:rPr>
                <w:b/>
                <w:sz w:val="18"/>
              </w:rPr>
              <w:t>Units tradeable at going public</w:t>
            </w:r>
          </w:p>
        </w:tc>
        <w:tc>
          <w:tcPr>
            <w:tcW w:type="dxa" w:w="5616"/>
          </w:tcPr>
          <w:p>
            <w:r/>
            <w:r>
              <w:rPr>
                <w:sz w:val="18"/>
              </w:rPr>
              <w:t>At RTO listing, units part of public float; tradeable subject to principals' lockup</w:t>
            </w:r>
          </w:p>
        </w:tc>
      </w:tr>
      <w:tr>
        <w:tc>
          <w:tcPr>
            <w:tcW w:type="dxa" w:w="3744"/>
          </w:tcPr>
          <w:p>
            <w:r/>
            <w:r>
              <w:rPr>
                <w:b/>
                <w:sz w:val="18"/>
              </w:rPr>
              <w:t>ALL DATES</w:t>
            </w:r>
          </w:p>
        </w:tc>
        <w:tc>
          <w:tcPr>
            <w:tcW w:type="dxa" w:w="5616"/>
          </w:tcPr>
          <w:p>
            <w:r/>
            <w:r>
              <w:rPr>
                <w:sz w:val="18"/>
              </w:rPr>
              <w:t>Targeted, not assured. RTO may not close.</w:t>
            </w:r>
          </w:p>
        </w:tc>
      </w:tr>
    </w:tbl>
    <w:p>
      <w:pPr>
        <w:spacing w:after="60" w:before="0"/>
      </w:pPr>
    </w:p>
    <w:p>
      <w:pPr>
        <w:keepNext/>
        <w:spacing w:after="60" w:before="60"/>
      </w:pPr>
      <w:r>
        <w:rPr>
          <w:b/>
          <w:i w:val="0"/>
          <w:color w:val="1F3A68"/>
          <w:sz w:val="24"/>
        </w:rPr>
        <w:t>5.  Projected Post-RTO Value  (Projection — Not a Promise)</w:t>
      </w:r>
    </w:p>
    <w:p>
      <w:pPr>
        <w:spacing w:after="40" w:before="0"/>
      </w:pPr>
      <w:r>
        <w:rPr>
          <w:b w:val="0"/>
          <w:i/>
          <w:color w:val="606060"/>
          <w:sz w:val="17"/>
        </w:rPr>
        <w:t>Forward-looking projection — management assumptions (RTO completion, listing valuation, ~30% dilution). Not a guarantee; actual results may differ. RTO may not close. SEC Rule 10b-5, 17 CFR 240.10b-5 (https://www.ecfr.gov/current/title-17/chapter-II/part-240/section-240.10b-5) antifraud rules apply. 409A issuance value: $1.0M fixed (~0.59%). Up-front EAI only; earn-out column is additional, at listing, pre-dilution.</w:t>
      </w:r>
    </w:p>
    <w:tbl>
      <w:tblPr>
        <w:tblW w:type="auto" w:w="0"/>
        <w:jc w:val="center"/>
        <w:tblLayout w:type="fixed"/>
        <w:tblLook w:firstColumn="1" w:firstRow="1" w:lastColumn="0" w:lastRow="0" w:noHBand="0" w:noVBand="1" w:val="04A0"/>
      </w:tblPr>
      <w:tblGrid>
        <w:gridCol w:w="1224"/>
        <w:gridCol w:w="1224"/>
        <w:gridCol w:w="1584"/>
        <w:gridCol w:w="1872"/>
        <w:gridCol w:w="2015"/>
      </w:tblGrid>
      <w:tr>
        <w:tc>
          <w:tcPr>
            <w:tcW w:type="dxa" w:w="1224"/>
            <w:shd w:val="clear" w:color="auto" w:fill="1F3A68"/>
          </w:tcPr>
          <w:p>
            <w:r/>
            <w:r>
              <w:rPr>
                <w:b/>
                <w:color w:val="FFFFFF"/>
                <w:sz w:val="18"/>
              </w:rPr>
              <w:t>Scenario</w:t>
            </w:r>
          </w:p>
        </w:tc>
        <w:tc>
          <w:tcPr>
            <w:tcW w:type="dxa" w:w="1224"/>
            <w:shd w:val="clear" w:color="auto" w:fill="1F3A68"/>
          </w:tcPr>
          <w:p>
            <w:r/>
            <w:r>
              <w:rPr>
                <w:b/>
                <w:color w:val="FFFFFF"/>
                <w:sz w:val="18"/>
              </w:rPr>
              <w:t>RTO MEV</w:t>
            </w:r>
          </w:p>
        </w:tc>
        <w:tc>
          <w:tcPr>
            <w:tcW w:type="dxa" w:w="1584"/>
            <w:shd w:val="clear" w:color="auto" w:fill="1F3A68"/>
          </w:tcPr>
          <w:p>
            <w:r/>
            <w:r>
              <w:rPr>
                <w:b/>
                <w:color w:val="FFFFFF"/>
                <w:sz w:val="18"/>
              </w:rPr>
              <w:t>~0.59% pre-dil</w:t>
            </w:r>
          </w:p>
        </w:tc>
        <w:tc>
          <w:tcPr>
            <w:tcW w:type="dxa" w:w="1872"/>
            <w:shd w:val="clear" w:color="auto" w:fill="1F3A68"/>
          </w:tcPr>
          <w:p>
            <w:r/>
            <w:r>
              <w:rPr>
                <w:b/>
                <w:color w:val="FFFFFF"/>
                <w:sz w:val="18"/>
              </w:rPr>
              <w:t>~0.59% post-dil</w:t>
              <w:br/>
              <w:t>(~30% dil)</w:t>
            </w:r>
          </w:p>
        </w:tc>
        <w:tc>
          <w:tcPr>
            <w:tcW w:type="dxa" w:w="2016"/>
            <w:shd w:val="clear" w:color="auto" w:fill="1F3A68"/>
          </w:tcPr>
          <w:p>
            <w:r/>
            <w:r>
              <w:rPr>
                <w:b/>
                <w:color w:val="FFFFFF"/>
                <w:sz w:val="18"/>
              </w:rPr>
              <w:t>+ earn-out at listing</w:t>
            </w:r>
          </w:p>
        </w:tc>
      </w:tr>
      <w:tr>
        <w:tc>
          <w:tcPr>
            <w:tcW w:type="dxa" w:w="1224"/>
          </w:tcPr>
          <w:p>
            <w:r/>
            <w:r>
              <w:rPr>
                <w:b/>
                <w:sz w:val="18"/>
              </w:rPr>
              <w:t>Low</w:t>
            </w:r>
          </w:p>
        </w:tc>
        <w:tc>
          <w:tcPr>
            <w:tcW w:type="dxa" w:w="1224"/>
          </w:tcPr>
          <w:p>
            <w:r/>
            <w:r>
              <w:rPr>
                <w:sz w:val="18"/>
              </w:rPr>
              <w:t>$200M</w:t>
            </w:r>
          </w:p>
        </w:tc>
        <w:tc>
          <w:tcPr>
            <w:tcW w:type="dxa" w:w="1584"/>
          </w:tcPr>
          <w:p>
            <w:r/>
            <w:r>
              <w:rPr>
                <w:sz w:val="18"/>
              </w:rPr>
              <w:t>$1.18M</w:t>
            </w:r>
          </w:p>
        </w:tc>
        <w:tc>
          <w:tcPr>
            <w:tcW w:type="dxa" w:w="1872"/>
          </w:tcPr>
          <w:p>
            <w:r/>
            <w:r>
              <w:rPr>
                <w:sz w:val="18"/>
              </w:rPr>
              <w:t>$0.83M</w:t>
            </w:r>
          </w:p>
        </w:tc>
        <w:tc>
          <w:tcPr>
            <w:tcW w:type="dxa" w:w="2016"/>
          </w:tcPr>
          <w:p>
            <w:r/>
            <w:r>
              <w:rPr>
                <w:sz w:val="18"/>
              </w:rPr>
              <w:t>$0 (0.0%)</w:t>
            </w:r>
          </w:p>
        </w:tc>
      </w:tr>
      <w:tr>
        <w:tc>
          <w:tcPr>
            <w:tcW w:type="dxa" w:w="1224"/>
          </w:tcPr>
          <w:p>
            <w:r/>
            <w:r>
              <w:rPr>
                <w:b/>
                <w:sz w:val="18"/>
              </w:rPr>
              <w:t>Base</w:t>
            </w:r>
          </w:p>
        </w:tc>
        <w:tc>
          <w:tcPr>
            <w:tcW w:type="dxa" w:w="1224"/>
          </w:tcPr>
          <w:p>
            <w:r/>
            <w:r>
              <w:rPr>
                <w:sz w:val="18"/>
              </w:rPr>
              <w:t>$250M</w:t>
            </w:r>
          </w:p>
        </w:tc>
        <w:tc>
          <w:tcPr>
            <w:tcW w:type="dxa" w:w="1584"/>
          </w:tcPr>
          <w:p>
            <w:r/>
            <w:r>
              <w:rPr>
                <w:sz w:val="18"/>
              </w:rPr>
              <w:t>$1.47M</w:t>
            </w:r>
          </w:p>
        </w:tc>
        <w:tc>
          <w:tcPr>
            <w:tcW w:type="dxa" w:w="1872"/>
          </w:tcPr>
          <w:p>
            <w:r/>
            <w:r>
              <w:rPr>
                <w:sz w:val="18"/>
              </w:rPr>
              <w:t>$1.03M</w:t>
            </w:r>
          </w:p>
        </w:tc>
        <w:tc>
          <w:tcPr>
            <w:tcW w:type="dxa" w:w="2016"/>
          </w:tcPr>
          <w:p>
            <w:r/>
            <w:r>
              <w:rPr>
                <w:sz w:val="18"/>
              </w:rPr>
              <w:t>+$625K (0.25% @ $250M)</w:t>
            </w:r>
          </w:p>
        </w:tc>
      </w:tr>
      <w:tr>
        <w:tc>
          <w:tcPr>
            <w:tcW w:type="dxa" w:w="1224"/>
          </w:tcPr>
          <w:p>
            <w:r/>
            <w:r>
              <w:rPr>
                <w:b/>
                <w:sz w:val="18"/>
              </w:rPr>
              <w:t>High</w:t>
            </w:r>
          </w:p>
        </w:tc>
        <w:tc>
          <w:tcPr>
            <w:tcW w:type="dxa" w:w="1224"/>
          </w:tcPr>
          <w:p>
            <w:r/>
            <w:r>
              <w:rPr>
                <w:sz w:val="18"/>
              </w:rPr>
              <w:t>$300M</w:t>
            </w:r>
          </w:p>
        </w:tc>
        <w:tc>
          <w:tcPr>
            <w:tcW w:type="dxa" w:w="1584"/>
          </w:tcPr>
          <w:p>
            <w:r/>
            <w:r>
              <w:rPr>
                <w:sz w:val="18"/>
              </w:rPr>
              <w:t>$1.77M</w:t>
            </w:r>
          </w:p>
        </w:tc>
        <w:tc>
          <w:tcPr>
            <w:tcW w:type="dxa" w:w="1872"/>
          </w:tcPr>
          <w:p>
            <w:r/>
            <w:r>
              <w:rPr>
                <w:sz w:val="18"/>
              </w:rPr>
              <w:t>$1.24M</w:t>
            </w:r>
          </w:p>
        </w:tc>
        <w:tc>
          <w:tcPr>
            <w:tcW w:type="dxa" w:w="2016"/>
          </w:tcPr>
          <w:p>
            <w:r/>
            <w:r>
              <w:rPr>
                <w:sz w:val="18"/>
              </w:rPr>
              <w:t>+$1,500K (0.50% @ $300M)</w:t>
            </w:r>
          </w:p>
        </w:tc>
      </w:tr>
    </w:tbl>
    <w:p>
      <w:pPr>
        <w:spacing w:after="60" w:before="0"/>
      </w:pPr>
    </w:p>
    <w:p>
      <w:pPr>
        <w:spacing w:after="40" w:before="0"/>
      </w:pPr>
      <w:r>
        <w:rPr>
          <w:b w:val="0"/>
          <w:i/>
          <w:color w:val="606060"/>
          <w:sz w:val="17"/>
        </w:rPr>
        <w:t>Detail in model: drafts/EXOS_SSLC_OptionB_Acquisition_Model_2026-10-07.xlsx  ·  With-vs-Without comparison: sheet 'With vs Without Exos Capital'  ·  Exclusivity rescue options: SSLC_Exclusivity_Rescue_Options_and_Draft_Message_2026-10-07_DRAFT_v2.docx</w:t>
      </w:r>
    </w:p>
    <w:p>
      <w:pPr>
        <w:spacing w:after="0" w:before="80"/>
        <w:jc w:val="center"/>
      </w:pPr>
      <w:r>
        <w:rPr>
          <w:b/>
          <w:i w:val="0"/>
          <w:color w:val="C00000"/>
          <w:sz w:val="17"/>
        </w:rPr>
        <w:t>DRAFT — INTERNAL — NEGOTIATING TERMS — John Quinn, CEO, Exos Aerospace — 2026-10-09</w:t>
      </w:r>
    </w:p>
    <w:sectPr w:rsidR="00D02269" w:rsidRPr="007C623E" w:rsidSect="006E0F85">
      <w:headerReference w:type="default" r:id="rId12"/>
      <w:footerReference w:type="default" r:id="rId14"/>
      <w:pgSz w:w="12240" w:h="15840"/>
      <w:pgMar w:top="1584" w:right="576" w:bottom="151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