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i w:val="0"/>
          <w:color w:val="0A3D7C"/>
          <w:sz w:val="30"/>
        </w:rPr>
        <w:t>SSLC Board of Directors Meeting — October 13, 2026 (Exos record)</w:t>
      </w:r>
    </w:p>
    <w:p>
      <w:pPr>
        <w:spacing w:after="80"/>
      </w:pPr>
      <w:r>
        <w:rPr>
          <w:b w:val="0"/>
          <w:i/>
          <w:color w:val="555555"/>
          <w:sz w:val="18"/>
        </w:rPr>
        <w:t>Exos's record from the meeting transcript (data-room/SSLC/meetings/SSLC_Board_Meeting_2026-10-13_transcript.txt). Not SSLC's official minutes. Confidential.</w:t>
      </w:r>
    </w:p>
    <w:p>
      <w:pPr>
        <w:spacing w:after="80"/>
      </w:pPr>
      <w:r>
        <w:rPr>
          <w:b w:val="0"/>
          <w:i w:val="0"/>
          <w:sz w:val="20"/>
        </w:rPr>
        <w:t>Present: Jim Wertz (chair), Alice Wertz, Bob Conger, Markus Rufer, John Quinn (from Japan). Advisor: Danny Piper (advisor to SSLC and Microcosm on the acquisition; not a director). Board meeting closed 12:27; discussion continued afterward.</w:t>
      </w:r>
    </w:p>
    <w:p>
      <w:pPr>
        <w:spacing w:after="60"/>
      </w:pPr>
      <w:r>
        <w:rPr>
          <w:b/>
          <w:i w:val="0"/>
          <w:color w:val="0A3D7C"/>
          <w:sz w:val="24"/>
        </w:rPr>
        <w:t>Board actions</w:t>
      </w:r>
    </w:p>
    <w:p>
      <w:pPr>
        <w:spacing w:after="40"/>
      </w:pPr>
      <w:r>
        <w:rPr>
          <w:b w:val="0"/>
          <w:i w:val="0"/>
          <w:sz w:val="21"/>
        </w:rPr>
        <w:t>•  Motion 1 (approve offer + §3 exclusivity): DEFERRED to the next meeting. Jim: his vote on the overall agreement is currently no; SSLC will send a counteroffer.</w:t>
      </w:r>
    </w:p>
    <w:p>
      <w:pPr>
        <w:spacing w:after="40"/>
      </w:pPr>
      <w:r>
        <w:rPr>
          <w:b w:val="0"/>
          <w:i w:val="0"/>
          <w:sz w:val="21"/>
        </w:rPr>
        <w:t>•  Motion 2 (full read-only QuickBooks, or equivalent, access for all directors): APPROVED. Exos to make a Mission Control query agent available to directors within a few days.</w:t>
      </w:r>
    </w:p>
    <w:p>
      <w:pPr>
        <w:spacing w:after="40"/>
      </w:pPr>
      <w:r>
        <w:rPr>
          <w:b w:val="0"/>
          <w:i w:val="0"/>
          <w:sz w:val="21"/>
        </w:rPr>
        <w:t>•  Motion 3 (correct AR Unbilled / customer-deposit accounting): APPROVED, 5 business days, within the current framework. An existing industry method (Exos/BBSNV deposit-to-delivery bookings) is the template for A La Carte; Markus supplies shop-floor completion data (1–2 days).</w:t>
      </w:r>
    </w:p>
    <w:p>
      <w:pPr>
        <w:spacing w:after="40"/>
      </w:pPr>
      <w:r>
        <w:rPr>
          <w:b w:val="0"/>
          <w:i w:val="0"/>
          <w:sz w:val="21"/>
        </w:rPr>
        <w:t>•  Motion 4 (ERP/MRP/inventory evaluation using SSLC QuickBooks data): APPROVED, at no cost to SSLC.</w:t>
      </w:r>
    </w:p>
    <w:p>
      <w:pPr>
        <w:spacing w:after="40"/>
      </w:pPr>
      <w:r>
        <w:rPr>
          <w:b w:val="0"/>
          <w:i w:val="0"/>
          <w:sz w:val="21"/>
        </w:rPr>
        <w:t>•  Motion 5 (related-party balances): DEFERRED; SSLC to review the transactions and respond in the next couple of days.</w:t>
      </w:r>
    </w:p>
    <w:p>
      <w:pPr>
        <w:spacing w:after="60"/>
      </w:pPr>
      <w:r>
        <w:rPr>
          <w:b/>
          <w:i w:val="0"/>
          <w:color w:val="0A3D7C"/>
          <w:sz w:val="24"/>
        </w:rPr>
        <w:t>Danny Piper's recommendations (basis for Heads of Terms r2)</w:t>
      </w:r>
    </w:p>
    <w:p>
      <w:pPr>
        <w:spacing w:after="40"/>
      </w:pPr>
      <w:r>
        <w:rPr>
          <w:b w:val="0"/>
          <w:i w:val="0"/>
          <w:sz w:val="21"/>
        </w:rPr>
        <w:t>•  Exchange a Word heads-of-terms with the headline economics; lock material terms once signed, because the financing/SEC filings cannot keep changing. Details go in the definitive agreements.</w:t>
      </w:r>
    </w:p>
    <w:p>
      <w:pPr>
        <w:spacing w:after="40"/>
      </w:pPr>
      <w:r>
        <w:rPr>
          <w:b w:val="0"/>
          <w:i w:val="0"/>
          <w:sz w:val="21"/>
        </w:rPr>
        <w:t>•  Asset sale (not stock): needs board approval plus a majority of shareholders, not every holder; SSLC remains responsible to its own cap table.</w:t>
      </w:r>
    </w:p>
    <w:p>
      <w:pPr>
        <w:spacing w:after="40"/>
      </w:pPr>
      <w:r>
        <w:rPr>
          <w:b w:val="0"/>
          <w:i w:val="0"/>
          <w:sz w:val="21"/>
        </w:rPr>
        <w:t>•  Non-competes only from directors and Markus (parties receiving value), about 5 years; carve-outs for the Microcosm and LOXair licenses (LOXair to be re-papered with Exos). Handle side agreements carefully, with counsel, so shareholders see them.</w:t>
      </w:r>
    </w:p>
    <w:p>
      <w:pPr>
        <w:spacing w:after="40"/>
      </w:pPr>
      <w:r>
        <w:rPr>
          <w:b w:val="0"/>
          <w:i w:val="0"/>
          <w:sz w:val="21"/>
        </w:rPr>
        <w:t>•  Post-closing tax: if Exos steps up asset basis and it creates SSLC tax, Exos covers it (true-up). Add purchase-price-adjustment language (about two sentences each).</w:t>
      </w:r>
    </w:p>
    <w:p>
      <w:pPr>
        <w:spacing w:after="40"/>
      </w:pPr>
      <w:r>
        <w:rPr>
          <w:b w:val="0"/>
          <w:i w:val="0"/>
          <w:sz w:val="21"/>
        </w:rPr>
        <w:t>•  $60K transaction costs are part of the purchase price; each side pays its own lawyers (Exos cannot pay SSLC's counsel). Consider paying it at term-sheet signing to fund retainers. Ed Powell (prior SSLC counsel) as a cost-effective option.</w:t>
      </w:r>
    </w:p>
    <w:p>
      <w:pPr>
        <w:spacing w:after="40"/>
      </w:pPr>
      <w:r>
        <w:rPr>
          <w:b w:val="0"/>
          <w:i w:val="0"/>
          <w:sz w:val="21"/>
        </w:rPr>
        <w:t>•  Employees: no 4–6 year contracts; an assurance of continued employment offers is enough. At-will with for-cause terms in the definitive agreement.</w:t>
      </w:r>
    </w:p>
    <w:p>
      <w:pPr>
        <w:spacing w:after="40"/>
      </w:pPr>
      <w:r>
        <w:rPr>
          <w:b w:val="0"/>
          <w:i w:val="0"/>
          <w:sz w:val="21"/>
        </w:rPr>
        <w:t>•  Post-closing operations (organization, facilities) are the buyer's decision; SSLC does not set terms for how Exos runs the business after closing.</w:t>
      </w:r>
    </w:p>
    <w:p>
      <w:pPr>
        <w:spacing w:after="40"/>
      </w:pPr>
      <w:r>
        <w:rPr>
          <w:b w:val="0"/>
          <w:i w:val="0"/>
          <w:sz w:val="21"/>
        </w:rPr>
        <w:t>•  Prioritize agreeing the term sheet over the accounting cleanup. Compare SSLC's counteroffer (payments tied to Exos funding events, no performance requirements) against Exos's (cash + earn-outs + stock).</w:t>
      </w:r>
    </w:p>
    <w:p>
      <w:pPr>
        <w:spacing w:after="60"/>
      </w:pPr>
      <w:r>
        <w:rPr>
          <w:b/>
          <w:i w:val="0"/>
          <w:color w:val="0A3D7C"/>
          <w:sz w:val="24"/>
        </w:rPr>
        <w:t>Other points</w:t>
      </w:r>
    </w:p>
    <w:p>
      <w:pPr>
        <w:spacing w:after="40"/>
      </w:pPr>
      <w:r>
        <w:rPr>
          <w:b w:val="0"/>
          <w:i w:val="0"/>
          <w:sz w:val="21"/>
        </w:rPr>
        <w:t>•  Jim's counteroffer: larger payments, timed after Exos's financing events (he cited May and August); to be written up and sent with comments from Danny, Bob and Markus.</w:t>
      </w:r>
    </w:p>
    <w:p>
      <w:pPr>
        <w:spacing w:after="40"/>
      </w:pPr>
      <w:r>
        <w:rPr>
          <w:b w:val="0"/>
          <w:i w:val="0"/>
          <w:sz w:val="21"/>
        </w:rPr>
        <w:t>•  Jim requested a black-on-white print copy; sent during the meeting.</w:t>
      </w:r>
    </w:p>
    <w:p>
      <w:pPr>
        <w:spacing w:after="40"/>
      </w:pPr>
      <w:r>
        <w:rPr>
          <w:b w:val="0"/>
          <w:i w:val="0"/>
          <w:sz w:val="21"/>
        </w:rPr>
        <w:t>•  John: the 'invested 25+ years ago' note on the payout slide is unverified and should come out.</w:t>
      </w:r>
    </w:p>
    <w:p>
      <w:pPr>
        <w:spacing w:after="40"/>
      </w:pPr>
      <w:r>
        <w:rPr>
          <w:b w:val="0"/>
          <w:i w:val="0"/>
          <w:sz w:val="21"/>
        </w:rPr>
        <w:t>•  John on urgency: the fairness opinion and the RTO process cannot proceed without a signed agreement; the financing team costs about $15K/week.</w:t>
      </w:r>
    </w:p>
    <w:p>
      <w:pPr>
        <w:spacing w:after="60"/>
      </w:pPr>
      <w:r>
        <w:rPr>
          <w:b/>
          <w:i w:val="0"/>
          <w:color w:val="0A3D7C"/>
          <w:sz w:val="24"/>
        </w:rPr>
        <w:t>Action items</w:t>
      </w:r>
    </w:p>
    <w:p>
      <w:pPr>
        <w:spacing w:after="40"/>
      </w:pPr>
      <w:r>
        <w:rPr>
          <w:b w:val="0"/>
          <w:i w:val="0"/>
          <w:sz w:val="21"/>
        </w:rPr>
        <w:t>•  John/Exos: send the Word term sheet with current numbers (Heads of Terms r2) to Danny for redline.</w:t>
      </w:r>
    </w:p>
    <w:p>
      <w:pPr>
        <w:spacing w:after="40"/>
      </w:pPr>
      <w:r>
        <w:rPr>
          <w:b w:val="0"/>
          <w:i w:val="0"/>
          <w:sz w:val="21"/>
        </w:rPr>
        <w:t>•  Exos: stand up director query access to SSLC QuickBooks data (Motion 2).</w:t>
      </w:r>
    </w:p>
    <w:p>
      <w:pPr>
        <w:spacing w:after="40"/>
      </w:pPr>
      <w:r>
        <w:rPr>
          <w:b w:val="0"/>
          <w:i w:val="0"/>
          <w:sz w:val="21"/>
        </w:rPr>
        <w:t>•  Exos/BBSNV: share the deposit-to-delivery booking example for A La Carte (Motion 3).</w:t>
      </w:r>
    </w:p>
    <w:p>
      <w:pPr>
        <w:spacing w:after="40"/>
      </w:pPr>
      <w:r>
        <w:rPr>
          <w:b w:val="0"/>
          <w:i w:val="0"/>
          <w:sz w:val="21"/>
        </w:rPr>
        <w:t>•  SSLC (Jim): counteroffer, with Danny's comments; Danny to resend his memo to Markus.</w:t>
      </w:r>
    </w:p>
    <w:p>
      <w:pPr>
        <w:spacing w:after="40"/>
      </w:pPr>
      <w:r>
        <w:rPr>
          <w:b w:val="0"/>
          <w:i w:val="0"/>
          <w:sz w:val="21"/>
        </w:rPr>
        <w:t>•  SSLC: respond on the related-party transactions (Motion 5) within a few days.</w:t>
      </w:r>
    </w:p>
    <w:p>
      <w:pPr>
        <w:spacing w:after="40"/>
      </w:pPr>
      <w:r>
        <w:rPr>
          <w:b w:val="0"/>
          <w:i w:val="0"/>
          <w:sz w:val="21"/>
        </w:rPr>
        <w:t>•  Next meeting: end of this week or early next week.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