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jc w:val="center"/>
      </w:pPr>
      <w:r>
        <w:rPr>
          <w:b/>
          <w:color w:val="0B2240"/>
          <w:sz w:val="28"/>
        </w:rPr>
        <w:t>MUTUAL NON-DISCLOSURE AGREEMENT</w:t>
      </w:r>
    </w:p>
    <w:p>
      <w:pPr>
        <w:spacing w:after="160"/>
        <w:jc w:val="center"/>
      </w:pPr>
      <w:r>
        <w:rPr>
          <w:b/>
          <w:color w:val="0B2240"/>
          <w:sz w:val="22"/>
        </w:rPr>
        <w:t>Exos Aerospace Systems &amp; Technologies, Inc. ↔ Global Strategic Materials, LLC (MATECH)</w:t>
      </w:r>
    </w:p>
    <w:p>
      <w:pPr>
        <w:spacing w:after="160"/>
        <w:jc w:val="center"/>
      </w:pPr>
      <w:r>
        <w:rPr>
          <w:i/>
          <w:color w:val="0B2240"/>
          <w:sz w:val="18"/>
        </w:rPr>
        <w:t>Version 1</w:t>
      </w:r>
    </w:p>
    <w:p/>
    <w:p>
      <w:pPr>
        <w:spacing w:after="120"/>
      </w:pPr>
      <w:r>
        <w:t>This Mutual Non-Disclosure Agreement ("Agreement") is entered into as of _____________, 2026 ("Effective Date") by and between:</w:t>
      </w:r>
    </w:p>
    <w:p/>
    <w:p>
      <w:pPr>
        <w:spacing w:after="120"/>
      </w:pPr>
      <w:r>
        <w:rPr>
          <w:b/>
        </w:rPr>
        <w:t>Exos Aerospace Systems &amp; Technologies, Inc.</w:t>
      </w:r>
      <w:r>
        <w:t>, a Texas corporation, with its principal place of business at 299 FM 1903, Greenville, TX 75402 ("Exos");</w:t>
      </w:r>
    </w:p>
    <w:p/>
    <w:p>
      <w:pPr>
        <w:spacing w:after="120"/>
      </w:pPr>
      <w:r>
        <w:t>and</w:t>
      </w:r>
    </w:p>
    <w:p/>
    <w:p>
      <w:pPr>
        <w:spacing w:after="120"/>
      </w:pPr>
      <w:r>
        <w:rPr>
          <w:b/>
        </w:rPr>
        <w:t>Global Strategic Materials, LLC</w:t>
      </w:r>
      <w:r>
        <w:t xml:space="preserve"> (d/b/a MATECH), a California limited liability company, with its principal place of business at 31304 Via Colinas, Suite 102, Westlake Village, CA 91362 ("MATECH").</w:t>
      </w:r>
    </w:p>
    <w:p/>
    <w:p>
      <w:pPr>
        <w:spacing w:after="120"/>
      </w:pPr>
      <w:r>
        <w:t xml:space="preserve">Exos and MATECH are each referred to individually as a "Party" and collectively as the "Parties." For purposes of this Agreement, "MATECH" includes its affiliate </w:t>
      </w:r>
      <w:r>
        <w:rPr>
          <w:b/>
        </w:rPr>
        <w:t>Super Carbon Composites Technologies LLC</w:t>
      </w:r>
      <w:r>
        <w:t>, and "Party" includes each Party's affiliates that receive or disclose Confidential Information hereunder.</w:t>
      </w:r>
    </w:p>
    <w:p/>
    <w:p>
      <w:pPr>
        <w:spacing w:before="160" w:after="60"/>
      </w:pPr>
      <w:r>
        <w:rPr>
          <w:b/>
          <w:color w:val="0B2240"/>
          <w:sz w:val="22"/>
        </w:rPr>
        <w:t>RECITALS</w:t>
      </w:r>
    </w:p>
    <w:p/>
    <w:p>
      <w:pPr>
        <w:spacing w:after="120"/>
      </w:pPr>
      <w:r>
        <w:t>WHEREAS, the Parties wish to explore a potential collaboration involving advanced materials for Exos's Rotating Detonation Rocket Engine (RDRE) and reusable launch vehicle programs, including ceramic matrix composite (CMC) combustion chambers and nozzles and ultra-high-density carbon-carbon throats intended to enable a flight-weight, highly reusable RDRE, together with related materials, formulations, manufacturing and densification processes, testing, pricing, and technical exchange (the "Proposed Business Relationship"); and</w:t>
      </w:r>
    </w:p>
    <w:p/>
    <w:p>
      <w:pPr>
        <w:spacing w:after="120"/>
      </w:pPr>
      <w:r>
        <w:t>WHEREAS, in connection with the Proposed Business Relationship, each Party may disclose certain Confidential Information (as defined herein) to the other Party;</w:t>
      </w:r>
    </w:p>
    <w:p/>
    <w:p>
      <w:pPr>
        <w:spacing w:after="120"/>
      </w:pPr>
      <w:r>
        <w:t>NOW, THEREFORE, in consideration of the mutual covenants and agreements herein, the Parties agree as follows:</w:t>
      </w:r>
    </w:p>
    <w:p/>
    <w:p>
      <w:pPr>
        <w:spacing w:before="160" w:after="60"/>
      </w:pPr>
      <w:r>
        <w:rPr>
          <w:b/>
          <w:color w:val="0B2240"/>
          <w:sz w:val="22"/>
        </w:rPr>
        <w:t>1. DEFINITION OF CONFIDENTIAL INFORMATION</w:t>
      </w:r>
    </w:p>
    <w:p/>
    <w:p>
      <w:pPr>
        <w:spacing w:after="120"/>
      </w:pPr>
      <w:r>
        <w:t>"Confidential Information" means any non-public information disclosed by one Party (the "Disclosing Party") to the other Party (the "Receiving Party"), whether disclosed orally, in writing, electronically, or by any other means, that (a) is designated as confidential at the time of disclosure, or (b) a reasonable person would understand to be confidential given the nature of the information and circumstances of disclosure. Confidential Information includes, without limitation:</w:t>
      </w:r>
    </w:p>
    <w:p/>
    <w:p>
      <w:pPr>
        <w:spacing w:after="60"/>
        <w:ind w:left="360"/>
      </w:pPr>
      <w:r>
        <w:t>•  Rotating Detonation Rocket Engine (RDRE), propulsion, and launch-vehicle designs, requirements, and technical data</w:t>
      </w:r>
    </w:p>
    <w:p>
      <w:pPr>
        <w:spacing w:after="60"/>
        <w:ind w:left="360"/>
      </w:pPr>
      <w:r>
        <w:t>•  Ceramic matrix composite (CMC) and carbon-carbon materials, fibers, formulations, coatings, and manufacturing and densification processes (including field-assisted sintering / "FAST" methods)</w:t>
      </w:r>
    </w:p>
    <w:p>
      <w:pPr>
        <w:spacing w:after="60"/>
        <w:ind w:left="360"/>
      </w:pPr>
      <w:r>
        <w:t>•  Component geometries, tolerances, test data, thermal and erosion performance, and qualification results</w:t>
      </w:r>
    </w:p>
    <w:p>
      <w:pPr>
        <w:spacing w:after="60"/>
        <w:ind w:left="360"/>
      </w:pPr>
      <w:r>
        <w:t>•  Pricing, cost, lead-time, capacity, and commercial terms</w:t>
      </w:r>
    </w:p>
    <w:p>
      <w:pPr>
        <w:spacing w:after="60"/>
        <w:ind w:left="360"/>
      </w:pPr>
      <w:r>
        <w:t>•  Intellectual property, patents (issued and pending), trade secrets, and know-how of either Party</w:t>
      </w:r>
    </w:p>
    <w:p>
      <w:pPr>
        <w:spacing w:after="60"/>
        <w:ind w:left="360"/>
      </w:pPr>
      <w:r>
        <w:t>•  ITAR/EAR-controlled technical data (to be handled in accordance with Section 9 hereof)</w:t>
      </w:r>
    </w:p>
    <w:p/>
    <w:p>
      <w:pPr>
        <w:spacing w:before="160" w:after="60"/>
      </w:pPr>
      <w:r>
        <w:rPr>
          <w:b/>
          <w:color w:val="0B2240"/>
          <w:sz w:val="22"/>
        </w:rPr>
        <w:t>2. OBLIGATIONS OF RECEIVING PARTY</w:t>
      </w:r>
    </w:p>
    <w:p/>
    <w:p>
      <w:pPr>
        <w:spacing w:after="120"/>
      </w:pPr>
      <w:r>
        <w:t>Each Party, as Receiving Party, agrees to:</w:t>
      </w:r>
    </w:p>
    <w:p>
      <w:pPr>
        <w:spacing w:after="120"/>
      </w:pPr>
      <w:r>
        <w:t>(a) Hold all Confidential Information of the Disclosing Party in strict confidence;</w:t>
      </w:r>
    </w:p>
    <w:p>
      <w:pPr>
        <w:spacing w:after="120"/>
      </w:pPr>
      <w:r>
        <w:t>(b) Use Confidential Information solely for the purpose of evaluating and performing the Proposed Business Relationship;</w:t>
      </w:r>
    </w:p>
    <w:p>
      <w:pPr>
        <w:spacing w:after="120"/>
      </w:pPr>
      <w:r>
        <w:t>(c) Limit disclosure of Confidential Information to its employees, contractors, and advisors who have a need to know and are bound by confidentiality obligations at least as protective as those in this Agreement;</w:t>
      </w:r>
    </w:p>
    <w:p>
      <w:pPr>
        <w:spacing w:after="120"/>
      </w:pPr>
      <w:r>
        <w:t>(d) Promptly notify the Disclosing Party upon discovery of any unauthorized use or disclosure of Confidential Information;</w:t>
      </w:r>
    </w:p>
    <w:p>
      <w:pPr>
        <w:spacing w:after="120"/>
      </w:pPr>
      <w:r>
        <w:t>(e) Not reverse-engineer, decompile, or disassemble any hardware, materials, or software provided as Confidential Information.</w:t>
      </w:r>
    </w:p>
    <w:p/>
    <w:p>
      <w:pPr>
        <w:spacing w:before="160" w:after="60"/>
      </w:pPr>
      <w:r>
        <w:rPr>
          <w:b/>
          <w:color w:val="0B2240"/>
          <w:sz w:val="22"/>
        </w:rPr>
        <w:t>3. EXCLUSIONS</w:t>
      </w:r>
    </w:p>
    <w:p/>
    <w:p>
      <w:pPr>
        <w:spacing w:after="120"/>
      </w:pPr>
      <w:r>
        <w:t>The obligations of Section 2 shall not apply to information that:</w:t>
      </w:r>
    </w:p>
    <w:p>
      <w:pPr>
        <w:spacing w:after="120"/>
      </w:pPr>
      <w:r>
        <w:t>(a) Is or becomes publicly available through no fault of the Receiving Party;</w:t>
      </w:r>
    </w:p>
    <w:p>
      <w:pPr>
        <w:spacing w:after="120"/>
      </w:pPr>
      <w:r>
        <w:t>(b) Was rightfully known to the Receiving Party prior to disclosure by the Disclosing Party;</w:t>
      </w:r>
    </w:p>
    <w:p>
      <w:pPr>
        <w:spacing w:after="120"/>
      </w:pPr>
      <w:r>
        <w:t>(c) Is rightfully disclosed to the Receiving Party by a third party without restriction;</w:t>
      </w:r>
    </w:p>
    <w:p>
      <w:pPr>
        <w:spacing w:after="120"/>
      </w:pPr>
      <w:r>
        <w:t>(d) Is independently developed by the Receiving Party without use of or reference to the Disclosing Party's Confidential Information; or</w:t>
      </w:r>
    </w:p>
    <w:p>
      <w:pPr>
        <w:spacing w:after="120"/>
      </w:pPr>
      <w:r>
        <w:t>(e) Is required to be disclosed by law, regulation, or valid court or governmental order, provided the Receiving Party gives prompt notice (where legally permitted) and cooperates in seeking protective treatment.</w:t>
      </w:r>
    </w:p>
    <w:p/>
    <w:p>
      <w:pPr>
        <w:spacing w:before="160" w:after="60"/>
      </w:pPr>
      <w:r>
        <w:rPr>
          <w:b/>
          <w:color w:val="0B2240"/>
          <w:sz w:val="22"/>
        </w:rPr>
        <w:t>4. TERM</w:t>
      </w:r>
    </w:p>
    <w:p/>
    <w:p>
      <w:pPr>
        <w:spacing w:after="120"/>
      </w:pPr>
      <w:r>
        <w:t>This Agreement shall remain in effect for a period of three (3) years from the Effective Date. Obligations with respect to Confidential Information that constitutes trade secrets shall survive the expiration or termination of this Agreement for so long as such information remains a trade secret under applicable law.</w:t>
      </w:r>
    </w:p>
    <w:p/>
    <w:p>
      <w:pPr>
        <w:spacing w:before="160" w:after="60"/>
      </w:pPr>
      <w:r>
        <w:rPr>
          <w:b/>
          <w:color w:val="0B2240"/>
          <w:sz w:val="22"/>
        </w:rPr>
        <w:t>5. OWNERSHIP; NO LICENSE</w:t>
      </w:r>
    </w:p>
    <w:p/>
    <w:p>
      <w:pPr>
        <w:spacing w:after="120"/>
      </w:pPr>
      <w:r>
        <w:t>All Confidential Information shall remain the exclusive property of the Disclosing Party. Nothing in this Agreement grants the Receiving Party any license, right, or interest in any intellectual property of the Disclosing Party. No joint venture, partnership, or agency relationship is created by this Agreement.</w:t>
      </w:r>
    </w:p>
    <w:p/>
    <w:p>
      <w:pPr>
        <w:spacing w:before="160" w:after="60"/>
      </w:pPr>
      <w:r>
        <w:rPr>
          <w:b/>
          <w:color w:val="0B2240"/>
          <w:sz w:val="22"/>
        </w:rPr>
        <w:t>6. RETURN OR DESTRUCTION OF CONFIDENTIAL INFORMATION</w:t>
      </w:r>
    </w:p>
    <w:p/>
    <w:p>
      <w:pPr>
        <w:spacing w:after="120"/>
      </w:pPr>
      <w:r>
        <w:t>Upon written request by the Disclosing Party, the Receiving Party shall promptly return or certify destruction of all Confidential Information and any copies thereof, except to the extent required to be retained by applicable law or the Receiving Party's reasonable document-retention policies.</w:t>
      </w:r>
    </w:p>
    <w:p/>
    <w:p>
      <w:pPr>
        <w:spacing w:before="160" w:after="60"/>
      </w:pPr>
      <w:r>
        <w:rPr>
          <w:b/>
          <w:color w:val="0B2240"/>
          <w:sz w:val="22"/>
        </w:rPr>
        <w:t>7. NON-SOLICITATION / NON-CIRCUMVENTION</w:t>
      </w:r>
    </w:p>
    <w:p/>
    <w:p>
      <w:pPr>
        <w:spacing w:after="120"/>
      </w:pPr>
      <w:r>
        <w:t>During the term of this Agreement, neither Party shall use Confidential Information to circumvent the other Party in any transaction, relationship, or opportunity introduced or disclosed under this Agreement, including any introduction to customers, suppliers, investors, or program partners.</w:t>
      </w:r>
    </w:p>
    <w:p/>
    <w:p>
      <w:pPr>
        <w:spacing w:before="160" w:after="60"/>
      </w:pPr>
      <w:r>
        <w:rPr>
          <w:b/>
          <w:color w:val="0B2240"/>
          <w:sz w:val="22"/>
        </w:rPr>
        <w:t>8. REMEDIES</w:t>
      </w:r>
    </w:p>
    <w:p/>
    <w:p>
      <w:pPr>
        <w:spacing w:after="120"/>
      </w:pPr>
      <w:r>
        <w:t>Each Party acknowledges that breach of this Agreement may cause irreparable harm for which monetary damages would be an inadequate remedy. Each Party therefore agrees that the non-breaching Party shall be entitled to seek equitable relief, including injunction and specific performance, without the requirement of posting bond or other security, in addition to all other remedies available at law or in equity.</w:t>
      </w:r>
    </w:p>
    <w:p/>
    <w:p>
      <w:pPr>
        <w:spacing w:before="160" w:after="60"/>
      </w:pPr>
      <w:r>
        <w:rPr>
          <w:b/>
          <w:color w:val="0B2240"/>
          <w:sz w:val="22"/>
        </w:rPr>
        <w:t>9. ITAR / EXPORT CONTROL</w:t>
      </w:r>
    </w:p>
    <w:p/>
    <w:p>
      <w:pPr>
        <w:spacing w:after="120"/>
      </w:pPr>
      <w:r>
        <w:t>The Parties acknowledge that certain information exchanged under this Agreement may be subject to the International Traffic in Arms Regulations (ITAR, 22 C.F.R. Parts 120–130) and/or the Export Administration Regulations (EAR, 15 C.F.R. Parts 730–774). Neither Party shall disclose, export, re-export, or transfer any ITAR- or EAR-controlled technical data received from the other Party to any foreign person, foreign entity, or foreign government without first obtaining all required licenses or authorizations from the appropriate U.S. government agency. Each Party represents that it is a "U.S. person" as defined under the ITAR and that it has or will obtain the necessary compliance infrastructure for handling ITAR/EAR-controlled data before such data is exchanged.</w:t>
      </w:r>
    </w:p>
    <w:p/>
    <w:p>
      <w:pPr>
        <w:spacing w:before="160" w:after="60"/>
      </w:pPr>
      <w:r>
        <w:rPr>
          <w:b/>
          <w:color w:val="0B2240"/>
          <w:sz w:val="22"/>
        </w:rPr>
        <w:t>10. GOVERNING LAW AND VENUE</w:t>
      </w:r>
    </w:p>
    <w:p/>
    <w:p>
      <w:pPr>
        <w:spacing w:after="120"/>
      </w:pPr>
      <w:r>
        <w:t>This Agreement shall be governed by the laws of the State of Texas, without regard to its conflict of laws principles. The Parties consent to exclusive jurisdiction and venue in the state and federal courts located in Dallas County, Texas, for any disputes arising under or related to this Agreement.</w:t>
      </w:r>
    </w:p>
    <w:p/>
    <w:p>
      <w:pPr>
        <w:spacing w:before="160" w:after="60"/>
      </w:pPr>
      <w:r>
        <w:rPr>
          <w:b/>
          <w:color w:val="0B2240"/>
          <w:sz w:val="22"/>
        </w:rPr>
        <w:t>11. ENTIRE AGREEMENT; AMENDMENT</w:t>
      </w:r>
    </w:p>
    <w:p/>
    <w:p>
      <w:pPr>
        <w:spacing w:after="120"/>
      </w:pPr>
      <w:r>
        <w:t>This Agreement constitutes the entire agreement between the Parties with respect to its subject matter and supersedes all prior agreements and understandings. This Agreement may be amended only by a written instrument signed by authorized representatives of both Parties.</w:t>
      </w:r>
    </w:p>
    <w:p/>
    <w:p>
      <w:pPr>
        <w:spacing w:before="160" w:after="60"/>
      </w:pPr>
      <w:r>
        <w:rPr>
          <w:b/>
          <w:color w:val="0B2240"/>
          <w:sz w:val="22"/>
        </w:rPr>
        <w:t>12. COUNTERPARTS; ELECTRONIC SIGNATURES</w:t>
      </w:r>
    </w:p>
    <w:p/>
    <w:p>
      <w:pPr>
        <w:spacing w:after="120"/>
      </w:pPr>
      <w:r>
        <w:t>This Agreement may be executed in counterparts, each of which shall be deemed an original. Electronic signatures shall be deemed valid and binding to the same extent as original signatures, in accordance with the Electronic Signatures in Global and National Commerce Act (E-SIGN) and the Uniform Electronic Transactions Act (UETA).</w:t>
      </w:r>
    </w:p>
    <w:p/>
    <w:p>
      <w:pPr>
        <w:spacing w:before="160" w:after="60"/>
      </w:pPr>
      <w:r>
        <w:rPr>
          <w:b/>
          <w:color w:val="0B2240"/>
          <w:sz w:val="22"/>
        </w:rPr>
        <w:t>SIGNATURES</w:t>
      </w:r>
    </w:p>
    <w:p/>
    <w:p>
      <w:pPr>
        <w:spacing w:after="120"/>
      </w:pPr>
      <w:r>
        <w:rPr>
          <w:b/>
        </w:rPr>
        <w:t>EXOS AEROSPACE SYSTEMS &amp; TECHNOLOGIES, INC.</w:t>
      </w:r>
    </w:p>
    <w:p/>
    <w:p>
      <w:pPr>
        <w:spacing w:after="120"/>
      </w:pPr>
      <w:r>
        <w:t>By: _______________________________</w:t>
      </w:r>
    </w:p>
    <w:p>
      <w:pPr>
        <w:spacing w:after="120"/>
      </w:pPr>
      <w:r>
        <w:t>Name: John Quinn</w:t>
      </w:r>
    </w:p>
    <w:p>
      <w:pPr>
        <w:spacing w:after="120"/>
      </w:pPr>
      <w:r>
        <w:t>Title: Cofounder and CEO</w:t>
      </w:r>
    </w:p>
    <w:p>
      <w:pPr>
        <w:spacing w:after="120"/>
      </w:pPr>
      <w:r>
        <w:t>Date: _______________________________</w:t>
      </w:r>
    </w:p>
    <w:p/>
    <w:p>
      <w:pPr>
        <w:spacing w:after="120"/>
      </w:pPr>
      <w:r>
        <w:rPr>
          <w:b/>
        </w:rPr>
        <w:t>GLOBAL STRATEGIC MATERIALS, LLC</w:t>
      </w:r>
      <w:r>
        <w:t xml:space="preserve"> (d/b/a MATECH)</w:t>
      </w:r>
    </w:p>
    <w:p/>
    <w:p>
      <w:pPr>
        <w:spacing w:after="120"/>
      </w:pPr>
      <w:r>
        <w:t>By: _______________________________</w:t>
      </w:r>
    </w:p>
    <w:p>
      <w:pPr>
        <w:spacing w:after="120"/>
      </w:pPr>
      <w:r>
        <w:t>Name: Edward J. A. Pope, Ph.D.</w:t>
      </w:r>
    </w:p>
    <w:p>
      <w:pPr>
        <w:spacing w:after="120"/>
      </w:pPr>
      <w:r>
        <w:t>Title: Founder and Managing Member</w:t>
      </w:r>
    </w:p>
    <w:p>
      <w:pPr>
        <w:spacing w:after="120"/>
      </w:pPr>
      <w:r>
        <w:t>Date: _______________________________</w:t>
      </w:r>
    </w:p>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Huber</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