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right"/>
      </w:pPr>
      <w:r>
        <w:rPr>
          <w:rFonts w:ascii="Calibri" w:hAnsi="Calibri"/>
          <w:b/>
          <w:i w:val="0"/>
          <w:color w:val="0B2A4A"/>
          <w:sz w:val="18"/>
        </w:rPr>
        <w:t xml:space="preserve">DOC NO:  </w:t>
      </w:r>
      <w:r>
        <w:rPr>
          <w:rFonts w:ascii="Calibri" w:hAnsi="Calibri"/>
          <w:b w:val="0"/>
          <w:i w:val="0"/>
          <w:color w:val="1C1C1C"/>
          <w:sz w:val="18"/>
        </w:rPr>
        <w:t>EXOS-ITZ-003-0</w:t>
      </w:r>
    </w:p>
    <w:p>
      <w:pPr>
        <w:spacing w:after="0" w:before="0"/>
        <w:jc w:val="right"/>
      </w:pPr>
      <w:r>
        <w:rPr>
          <w:rFonts w:ascii="Calibri" w:hAnsi="Calibri"/>
          <w:b/>
          <w:i w:val="0"/>
          <w:color w:val="0B2A4A"/>
          <w:sz w:val="18"/>
        </w:rPr>
        <w:t xml:space="preserve">DATE:  </w:t>
      </w:r>
      <w:r>
        <w:rPr>
          <w:rFonts w:ascii="Calibri" w:hAnsi="Calibri"/>
          <w:b w:val="0"/>
          <w:i w:val="0"/>
          <w:color w:val="1C1C1C"/>
          <w:sz w:val="18"/>
        </w:rPr>
        <w:t>08/21/2026</w:t>
      </w:r>
    </w:p>
    <w:p>
      <w:pPr>
        <w:spacing w:after="0" w:before="0"/>
        <w:jc w:val="right"/>
      </w:pPr>
      <w:r>
        <w:rPr>
          <w:rFonts w:ascii="Calibri" w:hAnsi="Calibri"/>
          <w:b/>
          <w:i w:val="0"/>
          <w:color w:val="0B2A4A"/>
          <w:sz w:val="18"/>
        </w:rPr>
        <w:t xml:space="preserve">STATUS:  </w:t>
      </w:r>
      <w:r>
        <w:rPr>
          <w:rFonts w:ascii="Calibri" w:hAnsi="Calibri"/>
          <w:b w:val="0"/>
          <w:i w:val="0"/>
          <w:color w:val="1C1C1C"/>
          <w:sz w:val="18"/>
        </w:rPr>
        <w:t>DRAFT</w:t>
      </w:r>
    </w:p>
    <w:p>
      <w:pPr>
        <w:spacing w:before="120" w:after="40"/>
        <w:jc w:val="center"/>
        <w:pBdr>
          <w:bottom w:val="single" w:sz="8" w:space="3" w:color="0b2a4a"/>
        </w:pBdr>
      </w:pPr>
      <w:r>
        <w:rPr>
          <w:rFonts w:ascii="Calibri" w:hAnsi="Calibri"/>
          <w:b/>
          <w:i w:val="0"/>
          <w:color w:val="0B2A4A"/>
          <w:sz w:val="34"/>
        </w:rPr>
        <w:t>ITZ Payload Operations - Inbound Receipt, Outbound Dispatch, and Return</w:t>
      </w:r>
    </w:p>
    <w:p>
      <w:pPr>
        <w:spacing w:before="160" w:after="200"/>
      </w:pPr>
      <w:r>
        <w:rPr>
          <w:rFonts w:ascii="Calibri" w:hAnsi="Calibri"/>
          <w:b w:val="0"/>
          <w:i w:val="0"/>
          <w:color w:val="1C1C1C"/>
          <w:sz w:val="20"/>
        </w:rPr>
        <w:t xml:space="preserve">Equipment / System No </w:t>
      </w:r>
      <w:r>
        <w:rPr>
          <w:rFonts w:ascii="Calibri" w:hAnsi="Calibri"/>
          <w:b w:val="0"/>
          <w:i w:val="0"/>
          <w:color w:val="606A78"/>
          <w:sz w:val="20"/>
        </w:rPr>
        <w:t>___________________</w:t>
      </w:r>
      <w:r>
        <w:rPr>
          <w:rFonts w:ascii="Calibri" w:hAnsi="Calibri"/>
          <w:b w:val="0"/>
          <w:i w:val="0"/>
          <w:color w:val="1C1C1C"/>
          <w:sz w:val="20"/>
        </w:rPr>
        <w:t xml:space="preserve">     Date </w:t>
      </w:r>
      <w:r>
        <w:rPr>
          <w:rFonts w:ascii="Calibri" w:hAnsi="Calibri"/>
          <w:b w:val="0"/>
          <w:i w:val="0"/>
          <w:color w:val="606A78"/>
          <w:sz w:val="20"/>
        </w:rPr>
        <w:t>_____________</w:t>
      </w:r>
      <w:r>
        <w:rPr>
          <w:rFonts w:ascii="Calibri" w:hAnsi="Calibri"/>
          <w:b w:val="0"/>
          <w:i w:val="0"/>
          <w:color w:val="1C1C1C"/>
          <w:sz w:val="20"/>
        </w:rPr>
        <w:t xml:space="preserve">     Performed by </w:t>
      </w:r>
      <w:r>
        <w:rPr>
          <w:rFonts w:ascii="Calibri" w:hAnsi="Calibri"/>
          <w:b w:val="0"/>
          <w:i w:val="0"/>
          <w:color w:val="606A78"/>
          <w:sz w:val="20"/>
        </w:rPr>
        <w:t>______________________________</w:t>
      </w:r>
    </w:p>
    <w:p>
      <w:pPr>
        <w:keepNext/>
        <w:spacing w:before="200" w:after="80"/>
        <w:pBdr>
          <w:bottom w:val="single" w:sz="6" w:space="3" w:color="c8102e"/>
        </w:pBdr>
      </w:pPr>
      <w:r>
        <w:rPr>
          <w:rFonts w:ascii="Calibri" w:hAnsi="Calibri"/>
          <w:b/>
          <w:i w:val="0"/>
          <w:color w:val="0B2A4A"/>
          <w:sz w:val="24"/>
        </w:rPr>
        <w:t>SAFETY / ENVIRONMENTAL</w:t>
      </w:r>
    </w:p>
    <w:p>
      <w:pPr>
        <w:spacing w:after="120"/>
      </w:pPr>
      <w:r>
        <w:rPr>
          <w:rFonts w:ascii="Calibri" w:hAnsi="Calibri"/>
          <w:b w:val="0"/>
          <w:i w:val="0"/>
          <w:color w:val="1C1C1C"/>
          <w:sz w:val="21"/>
        </w:rPr>
        <w:t>Verify that all personnel who will be involved with this activity are familiar with this procedure, any risks or hazards that may be encountered, possess the required safety equipment, and are familiar with the site safety and environmental policies.</w:t>
      </w:r>
    </w:p>
    <w:p>
      <w:pPr>
        <w:keepNext/>
        <w:spacing w:before="200" w:after="80"/>
        <w:pBdr>
          <w:bottom w:val="single" w:sz="6" w:space="3" w:color="c8102e"/>
        </w:pBdr>
      </w:pPr>
      <w:r>
        <w:rPr>
          <w:rFonts w:ascii="Calibri" w:hAnsi="Calibri"/>
          <w:b/>
          <w:i w:val="0"/>
          <w:color w:val="0B2A4A"/>
          <w:sz w:val="24"/>
        </w:rPr>
        <w:t>OBJECTIVE</w:t>
      </w:r>
    </w:p>
    <w:p>
      <w:pPr>
        <w:spacing w:after="120"/>
      </w:pPr>
      <w:r>
        <w:rPr>
          <w:rFonts w:ascii="Calibri" w:hAnsi="Calibri"/>
          <w:b w:val="0"/>
          <w:i w:val="0"/>
          <w:color w:val="1C1C1C"/>
          <w:sz w:val="21"/>
        </w:rPr>
        <w:t>The purpose of this procedure is to establish the controlled process for receiving international payloads into the ITZ container, dispatching (loading out) payloads, and processing final returns, in compliance with customs / Foreign-Trade Zone and U.S. export-control (ITAR / EAR) requirements.</w:t>
      </w:r>
    </w:p>
    <w:p>
      <w:pPr>
        <w:keepNext/>
        <w:spacing w:before="200" w:after="80"/>
        <w:pBdr>
          <w:bottom w:val="single" w:sz="6" w:space="3" w:color="c8102e"/>
        </w:pBdr>
      </w:pPr>
      <w:r>
        <w:rPr>
          <w:rFonts w:ascii="Calibri" w:hAnsi="Calibri"/>
          <w:b/>
          <w:i w:val="0"/>
          <w:color w:val="0B2A4A"/>
          <w:sz w:val="24"/>
        </w:rPr>
        <w:t>OVERVIEW</w:t>
      </w:r>
    </w:p>
    <w:p>
      <w:pPr>
        <w:spacing w:after="120"/>
      </w:pPr>
      <w:r>
        <w:rPr>
          <w:rFonts w:ascii="Calibri" w:hAnsi="Calibri"/>
          <w:b w:val="0"/>
          <w:i w:val="0"/>
          <w:color w:val="1C1C1C"/>
          <w:sz w:val="21"/>
        </w:rPr>
        <w:t>This procedure governs the payload lifecycle at the ITZ container: pre-receipt compliance screening, inbound receipt and custody, in-container handling, outbound dispatch, and final return, with the legal framework and support-cost accounting for each activity.</w:t>
      </w:r>
    </w:p>
    <w:p>
      <w:pPr>
        <w:keepNext/>
        <w:spacing w:before="200" w:after="80"/>
        <w:pBdr>
          <w:bottom w:val="single" w:sz="6" w:space="3" w:color="c8102e"/>
        </w:pBdr>
      </w:pPr>
      <w:r>
        <w:rPr>
          <w:rFonts w:ascii="Calibri" w:hAnsi="Calibri"/>
          <w:b/>
          <w:i w:val="0"/>
          <w:color w:val="0B2A4A"/>
          <w:sz w:val="24"/>
        </w:rPr>
        <w:t>PROCEDURE</w:t>
      </w:r>
    </w:p>
    <w:p>
      <w:pPr>
        <w:keepNext/>
        <w:spacing w:before="140" w:after="60"/>
      </w:pPr>
      <w:r>
        <w:rPr>
          <w:rFonts w:ascii="Calibri" w:hAnsi="Calibri"/>
          <w:b/>
          <w:i w:val="0"/>
          <w:color w:val="0B2A4A"/>
          <w:sz w:val="22"/>
        </w:rPr>
        <w:t>Task 1 - Pre-receipt authorization and compliance screen</w:t>
      </w:r>
    </w:p>
    <w:p>
      <w:pPr>
        <w:spacing w:after="60"/>
        <w:ind w:left="360"/>
      </w:pPr>
      <w:r>
        <w:rPr>
          <w:rFonts w:ascii="Calibri" w:hAnsi="Calibri"/>
          <w:b w:val="0"/>
          <w:i w:val="0"/>
          <w:color w:val="0B2A4A"/>
          <w:sz w:val="24"/>
        </w:rPr>
        <w:t xml:space="preserve">☐  </w:t>
      </w:r>
      <w:r>
        <w:rPr>
          <w:rFonts w:ascii="Calibri" w:hAnsi="Calibri"/>
          <w:b w:val="0"/>
          <w:i w:val="0"/>
          <w:color w:val="1C1C1C"/>
          <w:sz w:val="21"/>
        </w:rPr>
        <w:t>Screen the payload, consignor, and parties against ITAR/EAR and denied/sanctioned-party lists; document the export jurisdiction/classification.</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customs/FTZ entry treatment and required CBP documentation (19 CFR 146).</w:t>
      </w:r>
    </w:p>
    <w:p>
      <w:pPr>
        <w:spacing w:after="60"/>
        <w:ind w:left="360"/>
      </w:pPr>
      <w:r>
        <w:rPr>
          <w:rFonts w:ascii="Calibri" w:hAnsi="Calibri"/>
          <w:b w:val="0"/>
          <w:i w:val="0"/>
          <w:color w:val="0B2A4A"/>
          <w:sz w:val="24"/>
        </w:rPr>
        <w:t xml:space="preserve">☐  </w:t>
      </w:r>
      <w:r>
        <w:rPr>
          <w:rFonts w:ascii="Calibri" w:hAnsi="Calibri"/>
          <w:b w:val="0"/>
          <w:i w:val="0"/>
          <w:color w:val="1C1C1C"/>
          <w:sz w:val="21"/>
        </w:rPr>
        <w:t>Verify any required DDTC authorization/license and confirm conformance with the DHS CRADA.</w:t>
      </w:r>
    </w:p>
    <w:p>
      <w:pPr>
        <w:spacing w:after="60"/>
        <w:ind w:left="360"/>
      </w:pPr>
      <w:r>
        <w:rPr>
          <w:rFonts w:ascii="Calibri" w:hAnsi="Calibri"/>
          <w:b w:val="0"/>
          <w:i w:val="0"/>
          <w:color w:val="0B2A4A"/>
          <w:sz w:val="24"/>
        </w:rPr>
        <w:t xml:space="preserve">☐  </w:t>
      </w:r>
      <w:r>
        <w:rPr>
          <w:rFonts w:ascii="Calibri" w:hAnsi="Calibri"/>
          <w:b w:val="0"/>
          <w:i w:val="0"/>
          <w:color w:val="1C1C1C"/>
          <w:sz w:val="21"/>
        </w:rPr>
        <w:t>Control and screen foreign-person access for the specific payload (deemed-export check).</w:t>
      </w:r>
    </w:p>
    <w:p>
      <w:pPr>
        <w:keepNext/>
        <w:spacing w:before="140" w:after="60"/>
      </w:pPr>
      <w:r>
        <w:rPr>
          <w:rFonts w:ascii="Calibri" w:hAnsi="Calibri"/>
          <w:b/>
          <w:i w:val="0"/>
          <w:color w:val="0B2A4A"/>
          <w:sz w:val="22"/>
        </w:rPr>
        <w:t>Task 2 - Inbound payload receipt into the container</w:t>
      </w:r>
    </w:p>
    <w:p>
      <w:pPr>
        <w:spacing w:after="60"/>
        <w:ind w:left="360"/>
      </w:pPr>
      <w:r>
        <w:rPr>
          <w:rFonts w:ascii="Calibri" w:hAnsi="Calibri"/>
          <w:b w:val="0"/>
          <w:i w:val="0"/>
          <w:color w:val="0B2A4A"/>
          <w:sz w:val="24"/>
        </w:rPr>
        <w:t xml:space="preserve">☐  </w:t>
      </w:r>
      <w:r>
        <w:rPr>
          <w:rFonts w:ascii="Calibri" w:hAnsi="Calibri"/>
          <w:b w:val="0"/>
          <w:i w:val="0"/>
          <w:color w:val="1C1C1C"/>
          <w:sz w:val="21"/>
        </w:rPr>
        <w:t>Verify the inbound consignment against the manifest; conduct customs-supervised entry as required.</w:t>
      </w:r>
    </w:p>
    <w:p>
      <w:pPr>
        <w:spacing w:after="60"/>
        <w:ind w:left="360"/>
      </w:pPr>
      <w:r>
        <w:rPr>
          <w:rFonts w:ascii="Calibri" w:hAnsi="Calibri"/>
          <w:b w:val="0"/>
          <w:i w:val="0"/>
          <w:color w:val="0B2A4A"/>
          <w:sz w:val="24"/>
        </w:rPr>
        <w:t xml:space="preserve">☐  </w:t>
      </w:r>
      <w:r>
        <w:rPr>
          <w:rFonts w:ascii="Calibri" w:hAnsi="Calibri"/>
          <w:b w:val="0"/>
          <w:i w:val="0"/>
          <w:color w:val="1C1C1C"/>
          <w:sz w:val="21"/>
        </w:rPr>
        <w:t>Inspect condition and seals; photograph and record exceptions.</w:t>
      </w:r>
    </w:p>
    <w:p>
      <w:pPr>
        <w:spacing w:after="60"/>
        <w:ind w:left="360"/>
      </w:pPr>
      <w:r>
        <w:rPr>
          <w:rFonts w:ascii="Calibri" w:hAnsi="Calibri"/>
          <w:b w:val="0"/>
          <w:i w:val="0"/>
          <w:color w:val="0B2A4A"/>
          <w:sz w:val="24"/>
        </w:rPr>
        <w:t xml:space="preserve">☐  </w:t>
      </w:r>
      <w:r>
        <w:rPr>
          <w:rFonts w:ascii="Calibri" w:hAnsi="Calibri"/>
          <w:b w:val="0"/>
          <w:i w:val="0"/>
          <w:color w:val="1C1C1C"/>
          <w:sz w:val="21"/>
        </w:rPr>
        <w:t>Enter the payload into the chain-of-custody log and apply tamper-evident seals (EXOS-ITZ-002).</w:t>
      </w:r>
    </w:p>
    <w:p>
      <w:pPr>
        <w:spacing w:after="60"/>
        <w:ind w:left="360"/>
      </w:pPr>
      <w:r>
        <w:rPr>
          <w:rFonts w:ascii="Calibri" w:hAnsi="Calibri"/>
          <w:b w:val="0"/>
          <w:i w:val="0"/>
          <w:color w:val="0B2A4A"/>
          <w:sz w:val="24"/>
        </w:rPr>
        <w:t xml:space="preserve">☐  </w:t>
      </w:r>
      <w:r>
        <w:rPr>
          <w:rFonts w:ascii="Calibri" w:hAnsi="Calibri"/>
          <w:b w:val="0"/>
          <w:i w:val="0"/>
          <w:color w:val="1C1C1C"/>
          <w:sz w:val="21"/>
        </w:rPr>
        <w:t>Place into secure, monitored storage within the container.</w:t>
      </w:r>
    </w:p>
    <w:p>
      <w:pPr>
        <w:keepNext/>
        <w:spacing w:before="140" w:after="60"/>
      </w:pPr>
      <w:r>
        <w:rPr>
          <w:rFonts w:ascii="Calibri" w:hAnsi="Calibri"/>
          <w:b/>
          <w:i w:val="0"/>
          <w:color w:val="0B2A4A"/>
          <w:sz w:val="22"/>
        </w:rPr>
        <w:t>Task 3 - In-container handling and staging</w:t>
      </w:r>
    </w:p>
    <w:p>
      <w:pPr>
        <w:spacing w:after="60"/>
        <w:ind w:left="360"/>
      </w:pPr>
      <w:r>
        <w:rPr>
          <w:rFonts w:ascii="Calibri" w:hAnsi="Calibri"/>
          <w:b w:val="0"/>
          <w:i w:val="0"/>
          <w:color w:val="0B2A4A"/>
          <w:sz w:val="24"/>
        </w:rPr>
        <w:t xml:space="preserve">☐  </w:t>
      </w:r>
      <w:r>
        <w:rPr>
          <w:rFonts w:ascii="Calibri" w:hAnsi="Calibri"/>
          <w:b w:val="0"/>
          <w:i w:val="0"/>
          <w:color w:val="1C1C1C"/>
          <w:sz w:val="21"/>
        </w:rPr>
        <w:t>Handle payloads per customer and hazard requirements; maintain environmental conditions.</w:t>
      </w:r>
    </w:p>
    <w:p>
      <w:pPr>
        <w:spacing w:after="60"/>
        <w:ind w:left="360"/>
      </w:pPr>
      <w:r>
        <w:rPr>
          <w:rFonts w:ascii="Calibri" w:hAnsi="Calibri"/>
          <w:b w:val="0"/>
          <w:i w:val="0"/>
          <w:color w:val="0B2A4A"/>
          <w:sz w:val="24"/>
        </w:rPr>
        <w:t xml:space="preserve">☐  </w:t>
      </w:r>
      <w:r>
        <w:rPr>
          <w:rFonts w:ascii="Calibri" w:hAnsi="Calibri"/>
          <w:b w:val="0"/>
          <w:i w:val="0"/>
          <w:color w:val="1C1C1C"/>
          <w:sz w:val="21"/>
        </w:rPr>
        <w:t>Restrict access to authorized, trained personnel; log all handling.</w:t>
      </w:r>
    </w:p>
    <w:p>
      <w:pPr>
        <w:spacing w:after="60"/>
        <w:ind w:left="360"/>
      </w:pPr>
      <w:r>
        <w:rPr>
          <w:rFonts w:ascii="Calibri" w:hAnsi="Calibri"/>
          <w:b w:val="0"/>
          <w:i w:val="0"/>
          <w:color w:val="0B2A4A"/>
          <w:sz w:val="24"/>
        </w:rPr>
        <w:t xml:space="preserve">☐  </w:t>
      </w:r>
      <w:r>
        <w:rPr>
          <w:rFonts w:ascii="Calibri" w:hAnsi="Calibri"/>
          <w:b w:val="0"/>
          <w:i w:val="0"/>
          <w:color w:val="1C1C1C"/>
          <w:sz w:val="21"/>
        </w:rPr>
        <w:t>Stage for outbound movement per schedule.</w:t>
      </w:r>
    </w:p>
    <w:p>
      <w:pPr>
        <w:keepNext/>
        <w:spacing w:before="140" w:after="60"/>
      </w:pPr>
      <w:r>
        <w:rPr>
          <w:rFonts w:ascii="Calibri" w:hAnsi="Calibri"/>
          <w:b/>
          <w:i w:val="0"/>
          <w:color w:val="0B2A4A"/>
          <w:sz w:val="22"/>
        </w:rPr>
        <w:t>Task 4 - Outbound dispatch (loading payloads out)</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outbound authorization and export documentation/license as applicable.</w:t>
      </w:r>
    </w:p>
    <w:p>
      <w:pPr>
        <w:spacing w:after="60"/>
        <w:ind w:left="360"/>
      </w:pPr>
      <w:r>
        <w:rPr>
          <w:rFonts w:ascii="Calibri" w:hAnsi="Calibri"/>
          <w:b w:val="0"/>
          <w:i w:val="0"/>
          <w:color w:val="0B2A4A"/>
          <w:sz w:val="24"/>
        </w:rPr>
        <w:t xml:space="preserve">☐  </w:t>
      </w:r>
      <w:r>
        <w:rPr>
          <w:rFonts w:ascii="Calibri" w:hAnsi="Calibri"/>
          <w:b w:val="0"/>
          <w:i w:val="0"/>
          <w:color w:val="1C1C1C"/>
          <w:sz w:val="21"/>
        </w:rPr>
        <w:t>Package, seal, and label per requirements; update the chain-of-custody log.</w:t>
      </w:r>
    </w:p>
    <w:p>
      <w:pPr>
        <w:spacing w:after="60"/>
        <w:ind w:left="360"/>
      </w:pPr>
      <w:r>
        <w:rPr>
          <w:rFonts w:ascii="Calibri" w:hAnsi="Calibri"/>
          <w:b w:val="0"/>
          <w:i w:val="0"/>
          <w:color w:val="0B2A4A"/>
          <w:sz w:val="24"/>
        </w:rPr>
        <w:t xml:space="preserve">☐  </w:t>
      </w:r>
      <w:r>
        <w:rPr>
          <w:rFonts w:ascii="Calibri" w:hAnsi="Calibri"/>
          <w:b w:val="0"/>
          <w:i w:val="0"/>
          <w:color w:val="1C1C1C"/>
          <w:sz w:val="21"/>
        </w:rPr>
        <w:t>Complete customs/FTZ documentation for removal.</w:t>
      </w:r>
    </w:p>
    <w:p>
      <w:pPr>
        <w:spacing w:after="60"/>
        <w:ind w:left="360"/>
      </w:pPr>
      <w:r>
        <w:rPr>
          <w:rFonts w:ascii="Calibri" w:hAnsi="Calibri"/>
          <w:b w:val="0"/>
          <w:i w:val="0"/>
          <w:color w:val="0B2A4A"/>
          <w:sz w:val="24"/>
        </w:rPr>
        <w:t xml:space="preserve">☐  </w:t>
      </w:r>
      <w:r>
        <w:rPr>
          <w:rFonts w:ascii="Calibri" w:hAnsi="Calibri"/>
          <w:b w:val="0"/>
          <w:i w:val="0"/>
          <w:color w:val="1C1C1C"/>
          <w:sz w:val="21"/>
        </w:rPr>
        <w:t>Hand off to the carrier and record the transfer and seal numbers.</w:t>
      </w:r>
    </w:p>
    <w:p>
      <w:pPr>
        <w:keepNext/>
        <w:spacing w:before="140" w:after="60"/>
      </w:pPr>
      <w:r>
        <w:rPr>
          <w:rFonts w:ascii="Calibri" w:hAnsi="Calibri"/>
          <w:b/>
          <w:i w:val="0"/>
          <w:color w:val="0B2A4A"/>
          <w:sz w:val="22"/>
        </w:rPr>
        <w:t>Task 5 - Final return processing</w:t>
      </w:r>
    </w:p>
    <w:p>
      <w:pPr>
        <w:spacing w:after="60"/>
        <w:ind w:left="360"/>
      </w:pPr>
      <w:r>
        <w:rPr>
          <w:rFonts w:ascii="Calibri" w:hAnsi="Calibri"/>
          <w:b w:val="0"/>
          <w:i w:val="0"/>
          <w:color w:val="0B2A4A"/>
          <w:sz w:val="24"/>
        </w:rPr>
        <w:t xml:space="preserve">☐  </w:t>
      </w:r>
      <w:r>
        <w:rPr>
          <w:rFonts w:ascii="Calibri" w:hAnsi="Calibri"/>
          <w:b w:val="0"/>
          <w:i w:val="0"/>
          <w:color w:val="1C1C1C"/>
          <w:sz w:val="21"/>
        </w:rPr>
        <w:t>Receive the returned payload; verify condition, seals, and disposition against records.</w:t>
      </w:r>
    </w:p>
    <w:p>
      <w:pPr>
        <w:spacing w:after="60"/>
        <w:ind w:left="360"/>
      </w:pPr>
      <w:r>
        <w:rPr>
          <w:rFonts w:ascii="Calibri" w:hAnsi="Calibri"/>
          <w:b w:val="0"/>
          <w:i w:val="0"/>
          <w:color w:val="0B2A4A"/>
          <w:sz w:val="24"/>
        </w:rPr>
        <w:t xml:space="preserve">☐  </w:t>
      </w:r>
      <w:r>
        <w:rPr>
          <w:rFonts w:ascii="Calibri" w:hAnsi="Calibri"/>
          <w:b w:val="0"/>
          <w:i w:val="0"/>
          <w:color w:val="1C1C1C"/>
          <w:sz w:val="21"/>
        </w:rPr>
        <w:t>Reconcile customs/FTZ status for the return; complete required documentation.</w:t>
      </w:r>
    </w:p>
    <w:p>
      <w:pPr>
        <w:spacing w:after="60"/>
        <w:ind w:left="360"/>
      </w:pPr>
      <w:r>
        <w:rPr>
          <w:rFonts w:ascii="Calibri" w:hAnsi="Calibri"/>
          <w:b w:val="0"/>
          <w:i w:val="0"/>
          <w:color w:val="0B2A4A"/>
          <w:sz w:val="24"/>
        </w:rPr>
        <w:t xml:space="preserve">☐  </w:t>
      </w:r>
      <w:r>
        <w:rPr>
          <w:rFonts w:ascii="Calibri" w:hAnsi="Calibri"/>
          <w:b w:val="0"/>
          <w:i w:val="0"/>
          <w:color w:val="1C1C1C"/>
          <w:sz w:val="21"/>
        </w:rPr>
        <w:t>Release/return to the customer or dispose per instructions; close the chain-of-custody record.</w:t>
      </w:r>
    </w:p>
    <w:p>
      <w:pPr>
        <w:keepNext/>
        <w:spacing w:before="140" w:after="60"/>
      </w:pPr>
      <w:r>
        <w:rPr>
          <w:rFonts w:ascii="Calibri" w:hAnsi="Calibri"/>
          <w:b/>
          <w:i w:val="0"/>
          <w:color w:val="0B2A4A"/>
          <w:sz w:val="22"/>
        </w:rPr>
        <w:t>Task 6 - Records, legal framework, and support-cost accounting</w:t>
      </w:r>
    </w:p>
    <w:p>
      <w:pPr>
        <w:spacing w:after="60"/>
        <w:ind w:left="360"/>
      </w:pPr>
      <w:r>
        <w:rPr>
          <w:rFonts w:ascii="Calibri" w:hAnsi="Calibri"/>
          <w:b w:val="0"/>
          <w:i w:val="0"/>
          <w:color w:val="0B2A4A"/>
          <w:sz w:val="24"/>
        </w:rPr>
        <w:t xml:space="preserve">☐  </w:t>
      </w:r>
      <w:r>
        <w:rPr>
          <w:rFonts w:ascii="Calibri" w:hAnsi="Calibri"/>
          <w:b w:val="0"/>
          <w:i w:val="0"/>
          <w:color w:val="1C1C1C"/>
          <w:sz w:val="21"/>
        </w:rPr>
        <w:t>Retain customs, export-control, custody, and handling records per the records schedule.</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the activity complied with the customs/FTZ and ITAR/EAR framework; note any exceptions to the Empowered Official.</w:t>
      </w:r>
    </w:p>
    <w:p>
      <w:pPr>
        <w:spacing w:after="60"/>
        <w:ind w:left="360"/>
      </w:pPr>
      <w:r>
        <w:rPr>
          <w:rFonts w:ascii="Calibri" w:hAnsi="Calibri"/>
          <w:b w:val="0"/>
          <w:i w:val="0"/>
          <w:color w:val="0B2A4A"/>
          <w:sz w:val="24"/>
        </w:rPr>
        <w:t xml:space="preserve">☐  </w:t>
      </w:r>
      <w:r>
        <w:rPr>
          <w:rFonts w:ascii="Calibri" w:hAnsi="Calibri"/>
          <w:b w:val="0"/>
          <w:i w:val="0"/>
          <w:color w:val="1C1C1C"/>
          <w:sz w:val="21"/>
        </w:rPr>
        <w:t>Record support-cost items for the activity - e.g., crane/rigging and receiving labor, security monitoring, payload handling/staging, customs broker/FTZ fees, storage, and consumables - to the ITZ support-cost schedule (rates [TBD]).</w:t>
      </w:r>
    </w:p>
    <w:p>
      <w:pPr>
        <w:spacing w:before="140" w:after="60"/>
      </w:pPr>
      <w:r>
        <w:rPr>
          <w:rFonts w:ascii="Calibri" w:hAnsi="Calibri"/>
          <w:b/>
          <w:i w:val="0"/>
          <w:color w:val="0B2A4A"/>
          <w:sz w:val="22"/>
        </w:rPr>
        <w:t>Completion</w:t>
      </w:r>
    </w:p>
    <w:p>
      <w:pPr>
        <w:spacing w:after="60"/>
        <w:ind w:left="360"/>
      </w:pPr>
      <w:r>
        <w:rPr>
          <w:rFonts w:ascii="Calibri" w:hAnsi="Calibri"/>
          <w:b w:val="0"/>
          <w:i w:val="0"/>
          <w:color w:val="0B2A4A"/>
          <w:sz w:val="24"/>
        </w:rPr>
        <w:t xml:space="preserve">☐  </w:t>
      </w:r>
      <w:r>
        <w:rPr>
          <w:rFonts w:ascii="Calibri" w:hAnsi="Calibri"/>
          <w:b w:val="0"/>
          <w:i w:val="0"/>
          <w:color w:val="1C1C1C"/>
          <w:sz w:val="21"/>
        </w:rPr>
        <w:t>Record completion of the activity in the Exos Work Management System (Mission Control).</w:t>
      </w:r>
    </w:p>
    <w:p>
      <w:pPr>
        <w:spacing w:before="240"/>
      </w:pPr>
      <w:r>
        <w:rPr>
          <w:rFonts w:ascii="Calibri" w:hAnsi="Calibri"/>
          <w:b w:val="0"/>
          <w:i/>
          <w:color w:val="606A78"/>
          <w:sz w:val="17"/>
        </w:rPr>
        <w:t>Owner: Payload Operations / Exo   ·   Reference documents: DHS CRADA [ref]; Butte ITZ MOA; ITAR 22 CFR 120-130; EAR 15 CFR 730-774; CBP / Foreign-Trade Zone regulations (19 CFR Part 146); EXOS-ITZ-001; EXOS-ITZ-002. Empowered Official: John Quinn; ITAR reviewer: Denise Shirey.</w:t>
      </w:r>
    </w:p>
    <w:sectPr w:rsidR="00FC693F" w:rsidRPr="0006063C" w:rsidSect="00034616">
      <w:headerReference w:type="default" r:id="rId9"/>
      <w:footerReference w:type="default" r:id="rId10"/>
      <w:pgSz w:w="12240" w:h="15840"/>
      <w:pgMar w:top="720" w:right="1296" w:bottom="792" w:left="1296" w:header="432"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Calibri" w:hAnsi="Calibri"/>
        <w:b w:val="0"/>
        <w:i w:val="0"/>
        <w:color w:val="606A78"/>
        <w:sz w:val="16"/>
      </w:rPr>
      <w:t xml:space="preserve">EXOS-ITZ-003-0 Rev 0  ·  Controlled copy — valid for today's date only  ·  Process &amp; Procedure Control per EXOS-US-QMS-001  ·  Page </w:t>
    </w:r>
    <w:r>
      <w:fldChar w:fldCharType="begin"/>
    </w:r>
    <w:r>
      <w:rPr>
        <w:rFonts w:ascii="Calibri" w:hAnsi="Calibri"/>
        <w:color w:val="606A78"/>
        <w:sz w:val="16"/>
      </w:rPr>
      <w:instrText xml:space="preserve"> PAGE </w:instrText>
    </w:r>
    <w:r>
      <w:fldChar w:fldCharType="end"/>
    </w:r>
  </w:p>
  <w:p>
    <w:pPr>
      <w:spacing w:before="60" w:after="0"/>
      <w:jc w:val="center"/>
    </w:pPr>
    <w:r>
      <w:drawing>
        <wp:inline xmlns:a="http://schemas.openxmlformats.org/drawingml/2006/main" xmlns:pic="http://schemas.openxmlformats.org/drawingml/2006/picture">
          <wp:extent cx="6126480" cy="1005910"/>
          <wp:docPr id="1" name="Picture 1"/>
          <wp:cNvGraphicFramePr>
            <a:graphicFrameLocks noChangeAspect="1"/>
          </wp:cNvGraphicFramePr>
          <a:graphic>
            <a:graphicData uri="http://schemas.openxmlformats.org/drawingml/2006/picture">
              <pic:pic>
                <pic:nvPicPr>
                  <pic:cNvPr id="0" name="exos-letterhead-footer.png"/>
                  <pic:cNvPicPr/>
                </pic:nvPicPr>
                <pic:blipFill>
                  <a:blip r:embed="rId1"/>
                  <a:stretch>
                    <a:fillRect/>
                  </a:stretch>
                </pic:blipFill>
                <pic:spPr>
                  <a:xfrm>
                    <a:off x="0" y="0"/>
                    <a:ext cx="6126480" cy="1005910"/>
                  </a:xfrm>
                  <a:prstGeom prst="rect"/>
                </pic:spPr>
              </pic:pic>
            </a:graphicData>
          </a:graphic>
        </wp:inline>
      </w:drawing>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Pr>
    <w:r>
      <w:drawing>
        <wp:inline xmlns:a="http://schemas.openxmlformats.org/drawingml/2006/main" xmlns:pic="http://schemas.openxmlformats.org/drawingml/2006/picture">
          <wp:extent cx="6126480" cy="1264972"/>
          <wp:docPr id="1" name="Picture 1"/>
          <wp:cNvGraphicFramePr>
            <a:graphicFrameLocks noChangeAspect="1"/>
          </wp:cNvGraphicFramePr>
          <a:graphic>
            <a:graphicData uri="http://schemas.openxmlformats.org/drawingml/2006/picture">
              <pic:pic>
                <pic:nvPicPr>
                  <pic:cNvPr id="0" name="exos-letterhead-header.png"/>
                  <pic:cNvPicPr/>
                </pic:nvPicPr>
                <pic:blipFill>
                  <a:blip r:embed="rId1"/>
                  <a:stretch>
                    <a:fillRect/>
                  </a:stretch>
                </pic:blipFill>
                <pic:spPr>
                  <a:xfrm>
                    <a:off x="0" y="0"/>
                    <a:ext cx="6126480" cy="1264972"/>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1C1C1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