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40" w:before="0"/>
      </w:pPr>
      <w:r>
        <w:rPr>
          <w:b w:val="0"/>
          <w:i/>
          <w:color w:val="800000"/>
          <w:sz w:val="16"/>
        </w:rPr>
        <w:t>INTERNAL — DRAFT — NEGOTIATING TERMS — CEO eyes only</w:t>
      </w:r>
    </w:p>
    <w:p>
      <w:pPr>
        <w:spacing w:after="40" w:before="80"/>
        <w:jc w:val="center"/>
      </w:pPr>
      <w:r>
        <w:rPr>
          <w:b/>
          <w:i w:val="0"/>
          <w:color w:val="1F3A68"/>
          <w:sz w:val="28"/>
        </w:rPr>
        <w:t>EXOS AEROSPACE — SSLC OPTION B ACQUISITION OFFER</w:t>
      </w:r>
    </w:p>
    <w:p>
      <w:pPr>
        <w:spacing w:after="120" w:before="0"/>
        <w:jc w:val="center"/>
      </w:pPr>
      <w:r>
        <w:rPr>
          <w:b w:val="0"/>
          <w:i/>
          <w:color w:val="2E75B6"/>
          <w:sz w:val="20"/>
        </w:rPr>
        <w:t>Board Decision Summary · October 7, 2026</w:t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EXECUTIVE SUMMARY</w:t>
      </w:r>
    </w:p>
    <w:p>
      <w:pPr>
        <w:spacing w:after="60" w:before="0"/>
      </w:pPr>
      <w:r>
        <w:rPr>
          <w:b w:val="0"/>
          <w:i w:val="0"/>
          <w:sz w:val="20"/>
        </w:rPr>
        <w:t>Jon Quinn (CEO) has directed Exos to proceed with Option B: invoke §3 exclusivity of the May 2025 Asset Acquisition Agreement at the 2025 board-approved price, with an earn-out tied to Intuitive Machines (IM) tank deliveries and/or listed Exos stock post-RTO. Scorpius Space Launch Company (SSLC) debts are paid at face value at close, providing Jim Wertz's personal path to yes. This is separate from the ROFR the board declined; it proceeds on the signed, board-approved §3 exclusivity trigger.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DEAL TERMS (Option B)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2592"/>
        <w:gridCol w:w="3888"/>
      </w:tblGrid>
      <w:tr>
        <w:tc>
          <w:tcPr>
            <w:tcW w:type="dxa" w:w="3168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59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Amount</w:t>
            </w:r>
          </w:p>
        </w:tc>
        <w:tc>
          <w:tcPr>
            <w:tcW w:type="dxa" w:w="3888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Base acquisition price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$3,360,000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§3 / §1 price; cash + stake credit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 xml:space="preserve">  Cash at 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$2,510,000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Exos cash; from Series A first close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 xml:space="preserve">  SSLC costs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$60,000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Seller's costs (§3)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 xml:space="preserve">  Exos stake credit (18%)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($790,000)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Non-cash; existing 18% equity at 2021 basis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5% escrow holdback (§7, 12 mo.)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$168,000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Released at 12-month anniversary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SSLC debts assumed at face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~$500K (TBV)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Microcosm/Wertz notes + AP — to verify in SSLC QB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Earn-out i: IM tank revenue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5% of rev, $300K cap/yr, 3 yrs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Low/Base/High: $450K / $750K / $900K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Earn-out ii: Exos stock post-RTO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0.5% of FD shares, 12-mo lockup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Low/Base/High: $600K / $1.25M / $2.1M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TOTAL CONSIDERATION (Base, combined)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$5,860,000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Low: $4.91M | Base: $5.86M | High: $6.86M</w:t>
            </w:r>
          </w:p>
        </w:tc>
      </w:tr>
    </w:tbl>
    <w:p>
      <w:pPr>
        <w:spacing w:after="80" w:before="0"/>
      </w:pPr>
    </w:p>
    <w:p>
      <w:pPr>
        <w:spacing w:after="40" w:before="0"/>
      </w:pPr>
      <w:r>
        <w:rPr>
          <w:b w:val="0"/>
          <w:i/>
          <w:color w:val="606060"/>
          <w:sz w:val="18"/>
        </w:rPr>
        <w:t>TBV = to be verified in SSLC QuickBooks (QB session expired 10/7; must verify before signing).</w:t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1-YEAR AND 5-YEAR HEADLINE NUMBERS — TWO CASES</w:t>
      </w:r>
    </w:p>
    <w:p>
      <w:pPr>
        <w:spacing w:after="40" w:before="0"/>
      </w:pPr>
      <w:r>
        <w:rPr>
          <w:b w:val="0"/>
          <w:i/>
          <w:color w:val="606060"/>
          <w:sz w:val="18"/>
        </w:rPr>
        <w:t>Actuals-Anchored (AA): uses Q1 FY27 actuals and actuals-derived projections (FY27 SSLC fixed at $5.5M; quarterly-basis correction from prior $6.925M formula). Old-Model Case (v12 drivers): uses v12 Scorpius unit/ASP/COGS ramp (ASP $183K→$536K, units 1.5→9/mo, COGS 35%→30%) + v12 Exos standalone (BLK4/propulsion ramp). ⚠ v15 'Scorpius acquisition benchmark' ($0.9M→$21M) understates v12 Scorpius line ($4.1M→$54.7M) by 13× at Y5.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1584"/>
        <w:gridCol w:w="1584"/>
        <w:gridCol w:w="1728"/>
        <w:gridCol w:w="1728"/>
        <w:gridCol w:w="2160"/>
      </w:tblGrid>
      <w:tr>
        <w:tc>
          <w:tcPr>
            <w:tcW w:type="dxa" w:w="259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158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AA — FY27</w:t>
            </w:r>
          </w:p>
        </w:tc>
        <w:tc>
          <w:tcPr>
            <w:tcW w:type="dxa" w:w="158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AA — FY31</w:t>
            </w:r>
          </w:p>
        </w:tc>
        <w:tc>
          <w:tcPr>
            <w:tcW w:type="dxa" w:w="1728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v12 Old-Model — FY27</w:t>
            </w:r>
          </w:p>
        </w:tc>
        <w:tc>
          <w:tcPr>
            <w:tcW w:type="dxa" w:w="1728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v12 Old-Model — FY31</w:t>
            </w:r>
          </w:p>
        </w:tc>
        <w:tc>
          <w:tcPr>
            <w:tcW w:type="dxa" w:w="2160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SSLC Revenue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$5,500,000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$16,500,000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$4,120,000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$54,690,000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AA: actuals-anchored + IM firm; v12: unit/ASP ramp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Exos Standalone Revenue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$2,600,000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$16,000,000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$4,760,000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$124,500,000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AA: v15 commission-only; v12: BLK4/propulsion/wet-lease ramp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Net Consolidated Revenue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$7,600,000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$31,600,000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$8,880,000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$179,190,000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After interco elimination. v12 = v12 total direct.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SSLC EBITDA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+$1,240,000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+$6,000,000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$1,910,000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$35,420,000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v12 SSLC EBITDA derived: tanks at 65%/70% GM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Exos Standalone EBITDA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−$4,000,000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+$5,000,000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−$790,000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+$66,190,000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v12 Exos derived = v12 total EBITDA − v12 SSLC EBITDA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Consolidated EBITDA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−$2,760,000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+$11,000,000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$1,120,000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$101,610,000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v12 EBITDA from v12 Annual P&amp;L directly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v15 Benchmark (SSLC only)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$900,000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$21,000,000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$900,000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$21,000,000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⚠ Legacy pre-IM-confirmation model. Both cases exceed by ≥6×.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Cash need at close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$3,010,000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same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Acquisition $2.51M + WC bridge $0.5M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Series A first close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$10,000,000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same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Covers acquisition, WC bridge, Exos ops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Net remaining for Exos ops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$6,990,000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same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After SSLC cash deployment</w:t>
            </w:r>
          </w:p>
        </w:tc>
      </w:tr>
    </w:tbl>
    <w:p>
      <w:pPr>
        <w:spacing w:after="80" w:before="0"/>
      </w:pPr>
    </w:p>
    <w:p>
      <w:pPr>
        <w:spacing w:after="40" w:before="0"/>
      </w:pPr>
      <w:r>
        <w:rPr>
          <w:b w:val="0"/>
          <w:i/>
          <w:color w:val="606060"/>
          <w:sz w:val="18"/>
        </w:rPr>
        <w:t>AA consolidated EBITDA FY27 negative: Exos −$4M investment phase offsets SSLC +$1.24M. v12 FY27 EBITDA positive ($1.12M) because v12 assumes smaller Exos standalone loss. v12 Exos Y1 EBITDA derived = $1.12M total − ~$1.91M SSLC = −$0.79M. See Reconciliation sheet in xlsx for full line-by-line explanation.</w:t>
      </w:r>
    </w:p>
    <w:p>
      <w:r>
        <w:br w:type="page"/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EARN-OUT OPTIONS (Two Variants; Combined Recommended)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2736"/>
        <w:gridCol w:w="2736"/>
        <w:gridCol w:w="2304"/>
      </w:tblGrid>
      <w:tr>
        <w:tc>
          <w:tcPr>
            <w:tcW w:type="dxa" w:w="187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Earn-Out i: IM Tank Revenue</w:t>
            </w:r>
          </w:p>
        </w:tc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Earn-Out ii: Exos Stock</w:t>
            </w:r>
          </w:p>
        </w:tc>
        <w:tc>
          <w:tcPr>
            <w:tcW w:type="dxa" w:w="23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Combined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Structure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% of SSLC IM hardware revenue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Exos common stock at listing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Both i + ii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Mechanics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5% annual, $300K cap, 3-year term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0.5% of FD shares; 12-mo lockup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Each on own schedule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Low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$450,000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$600,000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$1,050,000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Base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$750,000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$1,250,000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$2,000,000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$900,000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$2,100,000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$3,000,000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Dilution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~0.5% of FD shares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~0.5% — non-material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Rationale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Rewards SSLC sellers for IM growth they enabled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Aligns SSLC sellers with Exos upside post-RTO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Best protection for all parties</w:t>
            </w:r>
          </w:p>
        </w:tc>
      </w:tr>
    </w:tbl>
    <w:p>
      <w:pPr>
        <w:spacing w:after="80" w:before="0"/>
      </w:pP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RISKS AND MITIGATIONS</w:t>
      </w:r>
    </w:p>
    <w:p>
      <w:pPr>
        <w:keepNext/>
        <w:spacing w:after="40" w:before="80"/>
      </w:pPr>
      <w:r>
        <w:rPr>
          <w:b/>
          <w:i w:val="0"/>
          <w:color w:val="2E75B6"/>
          <w:sz w:val="21"/>
        </w:rPr>
        <w:t>§3 Trigger Gap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Risk: </w:t>
      </w:r>
      <w:r>
        <w:t>FNEX/Ainigma is an advisor/broker-dealer, not itself an 'investor or lender'. SSLC counsel (Danny) may challenge the trigger.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Mitigation: </w:t>
      </w:r>
      <w:r>
        <w:t>Attach countersigned FNEX agreement + investor/sponsor use-of-proceeds letter naming the SSLC asset purchase. [Confirm D-7281974 is countersigned.]</w:t>
      </w:r>
    </w:p>
    <w:p>
      <w:pPr>
        <w:keepNext/>
        <w:spacing w:after="40" w:before="80"/>
      </w:pPr>
      <w:r>
        <w:rPr>
          <w:b/>
          <w:i w:val="0"/>
          <w:color w:val="2E75B6"/>
          <w:sz w:val="21"/>
        </w:rPr>
        <w:t>He-Tank Dispute (MC #3056)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Risk: </w:t>
      </w:r>
      <w:r>
        <w:t>Rev3 GHe tank fails at 4,400 psi proof; Morey questions it as a flight article. Exos faces ~$175K to take to flight.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Mitigation: </w:t>
      </w:r>
      <w:r>
        <w:t>Plan B: qualified COPV ≤$250K (Jon cap), $0.3M gap. Resolves cleanly post-acquisition as intercompany — the legal dispute disappears. Decision D-7281994.</w:t>
      </w:r>
    </w:p>
    <w:p>
      <w:pPr>
        <w:keepNext/>
        <w:spacing w:after="40" w:before="80"/>
      </w:pPr>
      <w:r>
        <w:rPr>
          <w:b/>
          <w:i w:val="0"/>
          <w:color w:val="2E75B6"/>
          <w:sz w:val="21"/>
        </w:rPr>
        <w:t>SSLC Cash Risk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Risk: </w:t>
      </w:r>
      <w:r>
        <w:t>SSLC cash at QB date: $198K. Needs $0.3–0.7M to finish $984K in prepaid work. Risk of distress before close.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Mitigation: </w:t>
      </w:r>
      <w:r>
        <w:t>Option C (held): prepaid BLK3 tank PO $300–700K as bridge. OR close quickly before cash depletes.</w:t>
      </w:r>
    </w:p>
    <w:p>
      <w:pPr>
        <w:keepNext/>
        <w:spacing w:after="40" w:before="80"/>
      </w:pPr>
      <w:r>
        <w:rPr>
          <w:b/>
          <w:i w:val="0"/>
          <w:color w:val="2E75B6"/>
          <w:sz w:val="21"/>
        </w:rPr>
        <w:t>Related-Party / Governance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Jon Quinn: </w:t>
      </w:r>
      <w:r>
        <w:t>on both boards. Jon recuses from SSLC board vote; sends as Exos CEO only. Eqvista fairness opinion: engaged 8/14/2026; agreement still unsigned (held ~1 month).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Disinterested directors: </w:t>
      </w:r>
      <w:r>
        <w:t>Markus Rufer and Bob approve on SSLC side; Jon abstains.</w:t>
      </w:r>
    </w:p>
    <w:p>
      <w:pPr>
        <w:keepNext/>
        <w:spacing w:after="40" w:before="80"/>
      </w:pPr>
      <w:r>
        <w:rPr>
          <w:b/>
          <w:i w:val="0"/>
          <w:color w:val="2E75B6"/>
          <w:sz w:val="21"/>
        </w:rPr>
        <w:t>Timing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Exclusivity window: </w:t>
      </w:r>
      <w:r>
        <w:t>90 days from ~Oct 8 = ~Jan 6, 2027. RTO close ~Mar 2027. Request extension proactively under the 'not unreasonably withhold' clause.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Jon in Japan: </w:t>
      </w:r>
      <w:r>
        <w:t>Oct 8 – Oct 29. Named Exos officer signs while away. Reply-by date to Jim/board to be confirmed.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ASKS — Board Decision Points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4031"/>
        <w:gridCol w:w="2015"/>
        <w:gridCol w:w="1728"/>
      </w:tblGrid>
      <w:tr>
        <w:tc>
          <w:tcPr>
            <w:tcW w:type="dxa" w:w="43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403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Ask</w:t>
            </w:r>
          </w:p>
        </w:tc>
        <w:tc>
          <w:tcPr>
            <w:tcW w:type="dxa" w:w="201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type="dxa" w:w="1728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Timing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DECIDED 10/7: Option B (A+B), Counsel deferred while negotiating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 (CEO)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Done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Confirm earn-out variant: tank-only, stock-only, or combined?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 (CEO)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Today 10/7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Confirm FNEX agreement is countersigned (D-7281974)?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Before send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Obtain investor use-of-proceeds letter naming SSLC purchase?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 + FNEX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Before send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Name Exos officer to sign while Jon is in Japan?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 (CEO)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Today 10/7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Set reply-by date to Jim Wertz?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 (CEO)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Today 10/7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Verify SSLC liabilities in QB before signing?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Exo / Jon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Before sign</w:t>
            </w:r>
          </w:p>
        </w:tc>
      </w:tr>
    </w:tbl>
    <w:p>
      <w:pPr>
        <w:spacing w:after="80" w:before="0"/>
      </w:pPr>
    </w:p>
    <w:p>
      <w:pPr>
        <w:spacing w:after="40" w:before="0"/>
      </w:pPr>
      <w:r>
        <w:rPr>
          <w:b w:val="0"/>
          <w:i/>
          <w:color w:val="505050"/>
          <w:sz w:val="16"/>
        </w:rPr>
        <w:t>Model file: drafts/EXOS_SSLC_OptionB_Acquisition_Model_2026-10-07.xlsx — all formulas, recalculates on input changes.</w:t>
      </w:r>
    </w:p>
    <w:p>
      <w:pPr>
        <w:spacing w:after="40" w:before="0"/>
      </w:pPr>
      <w:r>
        <w:rPr>
          <w:b w:val="0"/>
          <w:i/>
          <w:color w:val="505050"/>
          <w:sz w:val="16"/>
        </w:rPr>
        <w:t>Draft message to Wertz/board: see SSLC_Exclusivity_Rescue_Options_and_Draft_Message_2026-10-07_DRAFT_v2.docx.</w:t>
      </w:r>
    </w:p>
    <w:p>
      <w:pPr>
        <w:spacing w:after="120" w:before="0"/>
      </w:pPr>
      <w:r>
        <w:rPr>
          <w:b w:val="0"/>
          <w:i/>
          <w:color w:val="505050"/>
          <w:sz w:val="16"/>
        </w:rPr>
        <w:t>Decision card for Jon's approval is on Mission Control under task #3544.</w:t>
      </w:r>
    </w:p>
    <w:p>
      <w:r>
        <w:br w:type="page"/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TOTAL COMPENSATION — 5-YEAR VIEW (FY27–FY31)</w:t>
      </w:r>
    </w:p>
    <w:p>
      <w:pPr>
        <w:spacing w:after="40" w:before="0"/>
      </w:pPr>
      <w:r>
        <w:rPr>
          <w:b w:val="0"/>
          <w:i/>
          <w:color w:val="606060"/>
          <w:sz w:val="18"/>
        </w:rPr>
        <w:t>Stacked bar: funding delivered at close + forward potential (earn-outs). Base scenario shown; stock earn-out whiskers show low/high range. negotiating terms — management assumptions; SSLC debt unverified.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05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LC_OptionB_Total_Compensation_5yr_2026-10-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40" w:before="80"/>
      </w:pPr>
      <w:r>
        <w:rPr>
          <w:b/>
          <w:i w:val="0"/>
          <w:color w:val="2E75B6"/>
          <w:sz w:val="21"/>
        </w:rPr>
        <w:t>5-Year Total Compensation Summary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2304"/>
        <w:gridCol w:w="2304"/>
        <w:gridCol w:w="1872"/>
        <w:gridCol w:w="2520"/>
      </w:tblGrid>
      <w:tr>
        <w:tc>
          <w:tcPr>
            <w:tcW w:type="dxa" w:w="1728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23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Funding Delivered</w:t>
              <w:br/>
              <w:t>(at close, FY27)</w:t>
            </w:r>
          </w:p>
        </w:tc>
        <w:tc>
          <w:tcPr>
            <w:tcW w:type="dxa" w:w="23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Forward Potential</w:t>
              <w:br/>
              <w:t>(earn-outs, 3-yr)</w:t>
            </w:r>
          </w:p>
        </w:tc>
        <w:tc>
          <w:tcPr>
            <w:tcW w:type="dxa" w:w="187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5-Yr Total</w:t>
            </w:r>
          </w:p>
        </w:tc>
        <w:tc>
          <w:tcPr>
            <w:tcW w:type="dxa" w:w="2520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Base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$4,360,000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$2,000,000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$6,360,000</w:t>
            </w:r>
          </w:p>
        </w:tc>
        <w:tc>
          <w:tcPr>
            <w:tcW w:type="dxa" w:w="2520"/>
          </w:tcPr>
          <w:p>
            <w:r/>
            <w:r>
              <w:rPr>
                <w:sz w:val="18"/>
              </w:rPr>
              <w:t>Tank $750K + Stock $1.25M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Low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$4,360,000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$1,050,000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$5,410,000</w:t>
            </w:r>
          </w:p>
        </w:tc>
        <w:tc>
          <w:tcPr>
            <w:tcW w:type="dxa" w:w="2520"/>
          </w:tcPr>
          <w:p>
            <w:r/>
            <w:r>
              <w:rPr>
                <w:sz w:val="18"/>
              </w:rPr>
              <w:t>Tank $450K + Stock $600K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$4,360,000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$3,000,000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$7,360,000</w:t>
            </w:r>
          </w:p>
        </w:tc>
        <w:tc>
          <w:tcPr>
            <w:tcW w:type="dxa" w:w="2520"/>
          </w:tcPr>
          <w:p>
            <w:r/>
            <w:r>
              <w:rPr>
                <w:sz w:val="18"/>
              </w:rPr>
              <w:t>Tank $900K (capped) + Stock $2.1M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Model 'Total</w:t>
              <w:br/>
              <w:t>Consideration'</w:t>
              <w:br/>
              <w:t>(base; excl. WC bridge)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$3,860,000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$2,000,000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$5,860,000</w:t>
            </w:r>
          </w:p>
        </w:tc>
        <w:tc>
          <w:tcPr>
            <w:tcW w:type="dxa" w:w="2520"/>
          </w:tcPr>
          <w:p>
            <w:r/>
            <w:r>
              <w:rPr>
                <w:sz w:val="18"/>
              </w:rPr>
              <w:t>Deal Structure sheet; WC bridge excluded from consideration</w:t>
            </w:r>
          </w:p>
        </w:tc>
      </w:tr>
    </w:tbl>
    <w:p>
      <w:pPr>
        <w:spacing w:after="80" w:before="0"/>
      </w:pPr>
    </w:p>
    <w:p>
      <w:pPr>
        <w:spacing w:after="40" w:before="0"/>
      </w:pPr>
      <w:r>
        <w:rPr>
          <w:b w:val="0"/>
          <w:i/>
          <w:color w:val="606060"/>
          <w:sz w:val="18"/>
        </w:rPr>
        <w:t>'Funding delivered' includes: cash at close $2.51M + SSLC costs $60K + Exos stake credit (non-cash) $790K + SSLC debts paid at face ~$500K (TBV) + WC bridge $500K. Model 'Total Consideration' row follows the Deal Structure sheet definition (excl. WC bridge).</w:t>
      </w:r>
    </w:p>
    <w:p>
      <w:pPr>
        <w:spacing w:after="40" w:before="0"/>
      </w:pPr>
      <w:r>
        <w:rPr>
          <w:b w:val="0"/>
          <w:i/>
          <w:color w:val="505050"/>
          <w:sz w:val="16"/>
        </w:rPr>
        <w:t>Chart file: drafts/SSLC_OptionB_Total_Compensation_5yr_2026-10-07.png</w:t>
      </w:r>
    </w:p>
    <w:p>
      <w:pPr>
        <w:spacing w:after="80" w:before="0"/>
      </w:pPr>
      <w:r>
        <w:rPr>
          <w:b w:val="0"/>
          <w:i/>
          <w:color w:val="505050"/>
          <w:sz w:val="16"/>
        </w:rPr>
        <w:t>Total Compensation sheet in the model xlsx has formulas linked to Assumptions.</w:t>
      </w:r>
    </w:p>
    <w:sectPr w:rsidR="00D02269" w:rsidRPr="007C623E" w:rsidSect="006E0F85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2448" w:right="576" w:bottom="2160" w:left="1440" w:header="504" w:footer="50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A picture containing ligh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A picture containing ligh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A picture containing sitting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A picture containing sitting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hAnsi="Calibri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19" Type="http://schemas.openxmlformats.org/officeDocument/2006/relationships/image" Target="media/image3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