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3124D" w14:textId="2A1275F1" w:rsidR="00D02269" w:rsidRPr="007C623E" w:rsidRDefault="00D02269" w:rsidP="007C623E"/>
    <w:p>
      <w:pPr>
        <w:spacing w:before="120"/>
        <w:jc w:val="center"/>
      </w:pPr>
      <w:r>
        <w:rPr>
          <w:rFonts w:ascii="Calibri" w:hAnsi="Calibri"/>
          <w:b/>
          <w:color w:val="0A3D7C"/>
          <w:sz w:val="30"/>
        </w:rPr>
        <w:t>EXOS AEROSPACE — STARFIGHTERS SPACE (FJET)</w:t>
        <w:br/>
        <w:t>FUNDING STRUCTURE OPTIONS</w:t>
      </w:r>
    </w:p>
    <w:p>
      <w:pPr>
        <w:jc w:val="center"/>
      </w:pPr>
      <w:r>
        <w:rPr>
          <w:rFonts w:ascii="Calibri" w:hAnsi="Calibri"/>
          <w:i/>
          <w:color w:val="555555"/>
          <w:sz w:val="18"/>
        </w:rPr>
        <w:t>INTERNAL — FOR JON QUINN / COUNSEL REVIEW ONLY  |  October 6, 2026</w:t>
      </w:r>
    </w:p>
    <w:p>
      <w:pPr>
        <w:spacing w:before="280" w:after="80"/>
        <w:pBdr>
          <w:bottom w:val="single" w:sz="4" w:space="1" w:color="0A3D7C"/>
        </w:pBdr>
      </w:pPr>
      <w:r>
        <w:rPr>
          <w:rFonts w:ascii="Calibri" w:hAnsi="Calibri"/>
          <w:b/>
          <w:color w:val="0A3D7C"/>
          <w:sz w:val="24"/>
        </w:rPr>
        <w:t>0. STARFIGHTERS SPACE (FJET) — CURRENT FACTS</w:t>
      </w:r>
    </w:p>
    <w:p>
      <w:pPr>
        <w:spacing w:before="40" w:after="60"/>
      </w:pPr>
      <w:r>
        <w:rPr>
          <w:rFonts w:ascii="Calibri" w:hAnsi="Calibri"/>
          <w:b w:val="0"/>
          <w:i/>
          <w:color w:val="555555"/>
          <w:sz w:val="20"/>
        </w:rPr>
        <w:t>All figures from primary sources (SEC EDGAR, MarketBeat). Unverified items flagged.</w:t>
      </w:r>
    </w:p>
    <w:p>
      <w:pPr>
        <w:spacing w:before="20" w:after="20"/>
      </w:pPr>
      <w:r>
        <w:rPr>
          <w:rFonts w:ascii="Calibri" w:hAnsi="Calibri"/>
          <w:b/>
          <w:color w:val="0A3D7C"/>
          <w:sz w:val="20"/>
        </w:rPr>
        <w:t xml:space="preserve">Exchange / Ticker:  </w:t>
      </w:r>
      <w:r>
        <w:rPr>
          <w:rFonts w:ascii="Calibri" w:hAnsi="Calibri"/>
          <w:color w:val="1A1A1A"/>
          <w:sz w:val="20"/>
        </w:rPr>
        <w:t>NYSE American: FJET  (listed December 2025)</w:t>
      </w:r>
    </w:p>
    <w:p>
      <w:pPr>
        <w:spacing w:before="20" w:after="20"/>
      </w:pPr>
      <w:r>
        <w:rPr>
          <w:rFonts w:ascii="Calibri" w:hAnsi="Calibri"/>
          <w:b/>
          <w:color w:val="0A3D7C"/>
          <w:sz w:val="20"/>
        </w:rPr>
        <w:t xml:space="preserve">CEO:  </w:t>
      </w:r>
      <w:r>
        <w:rPr>
          <w:rFonts w:ascii="Calibri" w:hAnsi="Calibri"/>
          <w:color w:val="1A1A1A"/>
          <w:sz w:val="20"/>
        </w:rPr>
        <w:t>Tim Franta — salary raised to $350K/yr effective Sep 28, 2026</w:t>
      </w:r>
      <w:r>
        <w:rPr>
          <w:rFonts w:ascii="Calibri" w:hAnsi="Calibri"/>
          <w:i/>
          <w:color w:val="555555"/>
          <w:sz w:val="18"/>
        </w:rPr>
        <w:t xml:space="preserve">  [SEC 8-K Oct 2 2026  https://capedge.com/company/1947016/filings]</w:t>
      </w:r>
    </w:p>
    <w:p>
      <w:pPr>
        <w:spacing w:before="20" w:after="20"/>
      </w:pPr>
      <w:r>
        <w:rPr>
          <w:rFonts w:ascii="Calibri" w:hAnsi="Calibri"/>
          <w:b/>
          <w:color w:val="0A3D7C"/>
          <w:sz w:val="20"/>
        </w:rPr>
        <w:t xml:space="preserve">CFO:  </w:t>
      </w:r>
      <w:r>
        <w:rPr>
          <w:rFonts w:ascii="Calibri" w:hAnsi="Calibri"/>
          <w:color w:val="1A1A1A"/>
          <w:sz w:val="20"/>
        </w:rPr>
        <w:t>David Whitney — salary raised to $300K/yr effective Sep 28, 2026</w:t>
      </w:r>
    </w:p>
    <w:p>
      <w:pPr>
        <w:spacing w:before="20" w:after="20"/>
      </w:pPr>
      <w:r>
        <w:rPr>
          <w:rFonts w:ascii="Calibri" w:hAnsi="Calibri"/>
          <w:b/>
          <w:color w:val="0A3D7C"/>
          <w:sz w:val="20"/>
        </w:rPr>
        <w:t xml:space="preserve">Share price (10/6/26):  </w:t>
      </w:r>
      <w:r>
        <w:rPr>
          <w:rFonts w:ascii="Calibri" w:hAnsi="Calibri"/>
          <w:color w:val="1A1A1A"/>
          <w:sz w:val="20"/>
        </w:rPr>
        <w:t>$1.62–$1.63  |  52-wk range $1.57–$31.50  (−86% YTD)</w:t>
      </w:r>
      <w:r>
        <w:rPr>
          <w:rFonts w:ascii="Calibri" w:hAnsi="Calibri"/>
          <w:i/>
          <w:color w:val="555555"/>
          <w:sz w:val="18"/>
        </w:rPr>
        <w:t xml:space="preserve">  [MarketBeat https://www.marketbeat.com/stocks/NYSEAMERICAN/FJET/chart]</w:t>
      </w:r>
    </w:p>
    <w:p>
      <w:pPr>
        <w:spacing w:before="20" w:after="20"/>
      </w:pPr>
      <w:r>
        <w:rPr>
          <w:rFonts w:ascii="Calibri" w:hAnsi="Calibri"/>
          <w:b/>
          <w:color w:val="0A3D7C"/>
          <w:sz w:val="20"/>
        </w:rPr>
        <w:t xml:space="preserve">Market cap (10/6/26):  </w:t>
      </w:r>
      <w:r>
        <w:rPr>
          <w:rFonts w:ascii="Calibri" w:hAnsi="Calibri"/>
          <w:color w:val="1A1A1A"/>
          <w:sz w:val="20"/>
        </w:rPr>
        <w:t>≈ $89.9M</w:t>
      </w:r>
    </w:p>
    <w:p>
      <w:pPr>
        <w:spacing w:before="20" w:after="20"/>
      </w:pPr>
      <w:r>
        <w:rPr>
          <w:rFonts w:ascii="Calibri" w:hAnsi="Calibri"/>
          <w:b/>
          <w:color w:val="0A3D7C"/>
          <w:sz w:val="20"/>
        </w:rPr>
        <w:t xml:space="preserve">Shares outstanding:  </w:t>
      </w:r>
      <w:r>
        <w:rPr>
          <w:rFonts w:ascii="Calibri" w:hAnsi="Calibri"/>
          <w:color w:val="1A1A1A"/>
          <w:sz w:val="20"/>
        </w:rPr>
        <w:t>≈ 55M (current Yahoo Finance);  44.2M at March 31, 2026</w:t>
      </w:r>
      <w:r>
        <w:rPr>
          <w:rFonts w:ascii="Calibri" w:hAnsi="Calibri"/>
          <w:i/>
          <w:color w:val="555555"/>
          <w:sz w:val="18"/>
        </w:rPr>
        <w:t xml:space="preserve">  [Yahoo Finance key stats https://finance.yahoo.com/quote/FJET/key-statistics]</w:t>
      </w:r>
    </w:p>
    <w:p>
      <w:pPr>
        <w:spacing w:before="20" w:after="20"/>
      </w:pPr>
      <w:r>
        <w:rPr>
          <w:rFonts w:ascii="Calibri" w:hAnsi="Calibri"/>
          <w:b/>
          <w:color w:val="0A3D7C"/>
          <w:sz w:val="20"/>
        </w:rPr>
        <w:t xml:space="preserve">Float:  </w:t>
      </w:r>
      <w:r>
        <w:rPr>
          <w:rFonts w:ascii="Calibri" w:hAnsi="Calibri"/>
          <w:color w:val="1A1A1A"/>
          <w:sz w:val="20"/>
        </w:rPr>
        <w:t>37.33M shares  |  Insiders 26.6%  |  Institutions 18.9%</w:t>
      </w:r>
    </w:p>
    <w:p>
      <w:pPr>
        <w:spacing w:before="20" w:after="20"/>
      </w:pPr>
      <w:r>
        <w:rPr>
          <w:rFonts w:ascii="Calibri" w:hAnsi="Calibri"/>
          <w:b/>
          <w:color w:val="0A3D7C"/>
          <w:sz w:val="20"/>
        </w:rPr>
        <w:t xml:space="preserve">Key institutional holders:  </w:t>
      </w:r>
      <w:r>
        <w:rPr>
          <w:rFonts w:ascii="Calibri" w:hAnsi="Calibri"/>
          <w:color w:val="1A1A1A"/>
          <w:sz w:val="20"/>
        </w:rPr>
        <w:t>Citadel Advisors 5.43% (2.99M shs, Aug 24);  BlackRock 3.86% (2.12M shs, Jun 30)</w:t>
      </w:r>
      <w:r>
        <w:rPr>
          <w:rFonts w:ascii="Calibri" w:hAnsi="Calibri"/>
          <w:i/>
          <w:color w:val="555555"/>
          <w:sz w:val="18"/>
        </w:rPr>
        <w:t xml:space="preserve">  [Investing.com https://www.investing.com/equities/starfighters-space]</w:t>
      </w:r>
    </w:p>
    <w:p>
      <w:pPr>
        <w:spacing w:before="20" w:after="20"/>
      </w:pPr>
      <w:r>
        <w:rPr>
          <w:rFonts w:ascii="Calibri" w:hAnsi="Calibri"/>
          <w:b/>
          <w:color w:val="0A3D7C"/>
          <w:sz w:val="20"/>
        </w:rPr>
        <w:t xml:space="preserve">Last capital raise:  </w:t>
      </w:r>
      <w:r>
        <w:rPr>
          <w:rFonts w:ascii="Calibri" w:hAnsi="Calibri"/>
          <w:color w:val="1A1A1A"/>
          <w:sz w:val="20"/>
        </w:rPr>
        <w:t>$17.5M Reg D 506(b) private placement, May 22/27, 2026 — 5.22M shares @ $3.35;  Cantor Fitzgerald placement agent</w:t>
      </w:r>
      <w:r>
        <w:rPr>
          <w:rFonts w:ascii="Calibri" w:hAnsi="Calibri"/>
          <w:i/>
          <w:color w:val="555555"/>
          <w:sz w:val="18"/>
        </w:rPr>
        <w:t xml:space="preserve">  [SEC Form D filed Jun 4 2026  https://www.sec.gov/cgi-bin/browse-edgar]</w:t>
      </w:r>
    </w:p>
    <w:p>
      <w:pPr>
        <w:spacing w:before="20" w:after="20"/>
      </w:pPr>
      <w:r>
        <w:rPr>
          <w:rFonts w:ascii="Calibri" w:hAnsi="Calibri"/>
          <w:b/>
          <w:color w:val="0A3D7C"/>
          <w:sz w:val="20"/>
        </w:rPr>
        <w:t xml:space="preserve">H1 2026 net loss:  </w:t>
      </w:r>
      <w:r>
        <w:rPr>
          <w:rFonts w:ascii="Calibri" w:hAnsi="Calibri"/>
          <w:color w:val="1A1A1A"/>
          <w:sz w:val="20"/>
        </w:rPr>
        <w:t>$15.7M  |  operating cash burn $10.1M</w:t>
      </w:r>
      <w:r>
        <w:rPr>
          <w:rFonts w:ascii="Calibri" w:hAnsi="Calibri"/>
          <w:i/>
          <w:color w:val="555555"/>
          <w:sz w:val="18"/>
        </w:rPr>
        <w:t xml:space="preserve">  [10-Q filed Aug 19 2026  https://www.sec.gov/Archives/edgar/data/1947016/000106299326004518/form10q.htm]</w:t>
      </w:r>
    </w:p>
    <w:p>
      <w:pPr>
        <w:spacing w:before="20" w:after="20"/>
      </w:pPr>
      <w:r>
        <w:rPr>
          <w:rFonts w:ascii="Calibri" w:hAnsi="Calibri"/>
          <w:b/>
          <w:color w:val="0A3D7C"/>
          <w:sz w:val="20"/>
        </w:rPr>
        <w:t xml:space="preserve">Cash at Mar 31, 2026:  </w:t>
      </w:r>
      <w:r>
        <w:rPr>
          <w:rFonts w:ascii="Calibri" w:hAnsi="Calibri"/>
          <w:color w:val="1A1A1A"/>
          <w:sz w:val="20"/>
        </w:rPr>
        <w:t>$2.14M (cash + restricted)  |  Total assets $26.34M  |  Equity $22.43M</w:t>
      </w:r>
      <w:r>
        <w:rPr>
          <w:rFonts w:ascii="Calibri" w:hAnsi="Calibri"/>
          <w:i/>
          <w:color w:val="555555"/>
          <w:sz w:val="18"/>
        </w:rPr>
        <w:t xml:space="preserve">  [10-Q filed May 20 2026  https://www.sec.gov/Archives/edgar/data/1947016/000106299326002803/form10q.htm]</w:t>
      </w:r>
    </w:p>
    <w:p>
      <w:pPr>
        <w:spacing w:before="20" w:after="20"/>
      </w:pPr>
      <w:r>
        <w:rPr>
          <w:rFonts w:ascii="Calibri" w:hAnsi="Calibri"/>
          <w:b/>
          <w:color w:val="0A3D7C"/>
          <w:sz w:val="20"/>
        </w:rPr>
        <w:t xml:space="preserve">Aircraft deposit impairment:  </w:t>
      </w:r>
      <w:r>
        <w:rPr>
          <w:rFonts w:ascii="Calibri" w:hAnsi="Calibri"/>
          <w:color w:val="1A1A1A"/>
          <w:sz w:val="20"/>
        </w:rPr>
        <w:t>$5.15M impaired in H1 2026 — program-cost indicator for STARLAUNCH buildout</w:t>
      </w:r>
    </w:p>
    <w:p>
      <w:pPr>
        <w:spacing w:before="20" w:after="20"/>
      </w:pPr>
      <w:r>
        <w:rPr>
          <w:rFonts w:ascii="Calibri" w:hAnsi="Calibri"/>
          <w:b/>
          <w:color w:val="0A3D7C"/>
          <w:sz w:val="20"/>
        </w:rPr>
        <w:t xml:space="preserve">STARLAUNCH program:  </w:t>
      </w:r>
      <w:r>
        <w:rPr>
          <w:rFonts w:ascii="Calibri" w:hAnsi="Calibri"/>
          <w:color w:val="1A1A1A"/>
          <w:sz w:val="20"/>
        </w:rPr>
        <w:t>STARLAUNCH 1 wind tunnel testing complete (Mach 0.85 / Mach 1.3, no adverse aero interactions, Jan 2026). Preparing next R&amp;D phase. ILS partnership for mission design / range integration (Aug 2026).</w:t>
      </w:r>
      <w:r>
        <w:rPr>
          <w:rFonts w:ascii="Calibri" w:hAnsi="Calibri"/>
          <w:i/>
          <w:color w:val="555555"/>
          <w:sz w:val="18"/>
        </w:rPr>
        <w:t xml:space="preserve">  [SEC 8-K Jan 21 2026]</w:t>
      </w:r>
    </w:p>
    <w:p>
      <w:pPr>
        <w:spacing w:before="20" w:after="20"/>
      </w:pPr>
      <w:r>
        <w:rPr>
          <w:rFonts w:ascii="Calibri" w:hAnsi="Calibri"/>
          <w:b/>
          <w:color w:val="0A3D7C"/>
          <w:sz w:val="20"/>
        </w:rPr>
        <w:t xml:space="preserve">Blackstar Orbital partnership:  </w:t>
      </w:r>
      <w:r>
        <w:rPr>
          <w:rFonts w:ascii="Calibri" w:hAnsi="Calibri"/>
          <w:color w:val="1A1A1A"/>
          <w:sz w:val="20"/>
        </w:rPr>
        <w:t>Technical Interchange Agreement for reusable hypersonic 'SpaceDrone' captive-carry flight tests; Q4 FY26 targeted</w:t>
      </w:r>
      <w:r>
        <w:rPr>
          <w:rFonts w:ascii="Calibri" w:hAnsi="Calibri"/>
          <w:i/>
          <w:color w:val="555555"/>
          <w:sz w:val="18"/>
        </w:rPr>
        <w:t xml:space="preserve">  [Finviz news Oct 1 2026  https://finviz.com/news/340916]</w:t>
      </w:r>
    </w:p>
    <w:p>
      <w:pPr>
        <w:spacing w:before="20" w:after="20"/>
      </w:pPr>
      <w:r>
        <w:rPr>
          <w:rFonts w:ascii="Calibri" w:hAnsi="Calibri"/>
          <w:b/>
          <w:color w:val="0A3D7C"/>
          <w:sz w:val="20"/>
        </w:rPr>
        <w:t xml:space="preserve">Auditor:  </w:t>
      </w:r>
      <w:r>
        <w:rPr>
          <w:rFonts w:ascii="Calibri" w:hAnsi="Calibri"/>
          <w:color w:val="1A1A1A"/>
          <w:sz w:val="20"/>
        </w:rPr>
        <w:t>Changed to CBIZ CPAs P.C. effective July 22, 2026 — prior auditor departed</w:t>
      </w:r>
      <w:r>
        <w:rPr>
          <w:rFonts w:ascii="Calibri" w:hAnsi="Calibri"/>
          <w:i/>
          <w:color w:val="555555"/>
          <w:sz w:val="18"/>
        </w:rPr>
        <w:t xml:space="preserve">  [SEC 8-K Jul 2026]</w:t>
      </w:r>
    </w:p>
    <w:p>
      <w:pPr>
        <w:spacing w:before="80" w:after="80"/>
      </w:pPr>
      <w:r>
        <w:rPr>
          <w:rFonts w:ascii="Calibri" w:hAnsi="Calibri"/>
          <w:b/>
          <w:color w:val="C00000"/>
          <w:sz w:val="18"/>
        </w:rPr>
        <w:t>⚠  FJET going-concern disclosures are active in its 10-Q. High stock-based comp ($4.5M H1), significant cash burn, and material weakness remediation ongoing. Any deal must account for FJET's own capital needs and NYSE American continued-listing requirements.</w:t>
      </w:r>
    </w:p>
    <w:p>
      <w:pPr>
        <w:spacing w:before="160" w:after="40"/>
      </w:pPr>
      <w:r>
        <w:rPr>
          <w:rFonts w:ascii="Calibri" w:hAnsi="Calibri"/>
          <w:b/>
          <w:color w:val="0A3D7C"/>
          <w:sz w:val="22"/>
        </w:rPr>
        <w:t>Existing Exos–Starfighters Relationship</w:t>
      </w:r>
    </w:p>
    <w:p>
      <w:pPr>
        <w:spacing w:before="20" w:after="20"/>
        <w:ind w:left="360" w:hanging="259"/>
      </w:pPr>
      <w:r>
        <w:rPr>
          <w:rFonts w:ascii="Calibri" w:hAnsi="Calibri"/>
          <w:color w:val="0A3D7C"/>
          <w:sz w:val="20"/>
        </w:rPr>
        <w:t xml:space="preserve">•  </w:t>
      </w:r>
      <w:r>
        <w:rPr>
          <w:rFonts w:ascii="Calibri" w:hAnsi="Calibri"/>
          <w:color w:val="1A1A1A"/>
          <w:sz w:val="20"/>
        </w:rPr>
        <w:t>MOU under discussion (Task #1782 / 23 emails with Tim Franta as of Sep 28, 2026); draft covers teaming, BD, AEDC Velocity Alliance consortium (Exos prime / Starfighters sub).</w:t>
      </w:r>
    </w:p>
    <w:p>
      <w:pPr>
        <w:spacing w:before="20" w:after="20"/>
        <w:ind w:left="360" w:hanging="259"/>
      </w:pPr>
      <w:r>
        <w:rPr>
          <w:rFonts w:ascii="Calibri" w:hAnsi="Calibri"/>
          <w:color w:val="0A3D7C"/>
          <w:sz w:val="20"/>
        </w:rPr>
        <w:t xml:space="preserve">•  </w:t>
      </w:r>
      <w:r>
        <w:rPr>
          <w:rFonts w:ascii="Calibri" w:hAnsi="Calibri"/>
          <w:color w:val="1A1A1A"/>
          <w:sz w:val="20"/>
        </w:rPr>
        <w:t>Mutual NDA executed. AEDC Velocity Alliance RFWP roster submitted with Starfighters.</w:t>
      </w:r>
    </w:p>
    <w:p>
      <w:pPr>
        <w:spacing w:before="20" w:after="20"/>
        <w:ind w:left="360" w:hanging="259"/>
      </w:pPr>
      <w:r>
        <w:rPr>
          <w:rFonts w:ascii="Calibri" w:hAnsi="Calibri"/>
          <w:color w:val="0A3D7C"/>
          <w:sz w:val="20"/>
        </w:rPr>
        <w:t xml:space="preserve">•  </w:t>
      </w:r>
      <w:r>
        <w:rPr>
          <w:rFonts w:ascii="Calibri" w:hAnsi="Calibri"/>
          <w:color w:val="1A1A1A"/>
          <w:sz w:val="20"/>
        </w:rPr>
        <w:t>September 2026 investor update included AEDC/Starfighters teaming angle.</w:t>
      </w:r>
    </w:p>
    <w:p>
      <w:pPr>
        <w:spacing w:before="20" w:after="20"/>
        <w:ind w:left="360" w:hanging="259"/>
      </w:pPr>
      <w:r>
        <w:rPr>
          <w:rFonts w:ascii="Calibri" w:hAnsi="Calibri"/>
          <w:color w:val="0A3D7C"/>
          <w:sz w:val="20"/>
        </w:rPr>
        <w:t xml:space="preserve">•  </w:t>
      </w:r>
      <w:r>
        <w:rPr>
          <w:rFonts w:ascii="Calibri" w:hAnsi="Calibri"/>
          <w:color w:val="1A1A1A"/>
          <w:sz w:val="20"/>
        </w:rPr>
        <w:t>Historical: Exos–Starfighters discussion letter on file (Sep 11, 2026).</w:t>
      </w:r>
    </w:p>
    <w:p>
      <w:pPr>
        <w:spacing w:before="280" w:after="80"/>
        <w:pBdr>
          <w:bottom w:val="single" w:sz="4" w:space="1" w:color="0A3D7C"/>
        </w:pBdr>
      </w:pPr>
      <w:r>
        <w:rPr>
          <w:rFonts w:ascii="Calibri" w:hAnsi="Calibri"/>
          <w:b/>
          <w:color w:val="0A3D7C"/>
          <w:sz w:val="24"/>
        </w:rPr>
        <w:t>1. EXOS FUNDING CONTEXT AS OF OCTOBER 6, 2026</w:t>
      </w:r>
    </w:p>
    <w:p>
      <w:pPr>
        <w:spacing w:before="40" w:after="60"/>
      </w:pPr>
      <w:r>
        <w:rPr>
          <w:rFonts w:ascii="Calibri" w:hAnsi="Calibri"/>
          <w:b w:val="0"/>
          <w:i w:val="0"/>
          <w:color w:val="1A1A1A"/>
          <w:sz w:val="20"/>
        </w:rPr>
        <w:t>Active funding paths (running in parallel per project_rto_rollup_capital_path):</w:t>
      </w:r>
    </w:p>
    <w:p>
      <w:pPr>
        <w:spacing w:before="20" w:after="20"/>
      </w:pPr>
      <w:r>
        <w:rPr>
          <w:rFonts w:ascii="Calibri" w:hAnsi="Calibri"/>
          <w:b/>
          <w:color w:val="0A3D7C"/>
          <w:sz w:val="20"/>
        </w:rPr>
        <w:t xml:space="preserve">A. Reg D Rule 504 offering:  </w:t>
      </w:r>
      <w:r>
        <w:rPr>
          <w:rFonts w:ascii="Calibri" w:hAnsi="Calibri"/>
          <w:color w:val="1A1A1A"/>
          <w:sz w:val="20"/>
        </w:rPr>
        <w:t>Up to $25M staged at ≈$10M/yr. No public solicitation. Counsel-confirmed structure. Rule 504 rolls 12-month cap: $10M total (see https://www.sec.gov/smallbusiness/exemptofferings/rule504). Existing 504 sales + Capital Bridge consume some of this capacity — exact remaining headroom requires Counsel confirmation.</w:t>
      </w:r>
    </w:p>
    <w:p>
      <w:pPr>
        <w:spacing w:before="20" w:after="20"/>
      </w:pPr>
      <w:r>
        <w:rPr>
          <w:rFonts w:ascii="Calibri" w:hAnsi="Calibri"/>
          <w:b/>
          <w:color w:val="0A3D7C"/>
          <w:sz w:val="20"/>
        </w:rPr>
        <w:t xml:space="preserve">B. Japan Reg S round:  </w:t>
      </w:r>
      <w:r>
        <w:rPr>
          <w:rFonts w:ascii="Calibri" w:hAnsi="Calibri"/>
          <w:color w:val="1A1A1A"/>
          <w:sz w:val="20"/>
        </w:rPr>
        <w:t>EAI unit structure, offshore, separate from U.S. 504. K.K. wholly owned. Toshihisa Kumazawa leading BD.</w:t>
      </w:r>
    </w:p>
    <w:p>
      <w:pPr>
        <w:spacing w:before="20" w:after="20"/>
      </w:pPr>
      <w:r>
        <w:rPr>
          <w:rFonts w:ascii="Calibri" w:hAnsi="Calibri"/>
          <w:b/>
          <w:color w:val="0A3D7C"/>
          <w:sz w:val="20"/>
        </w:rPr>
        <w:t xml:space="preserve">C. Ainigma RTO:  </w:t>
      </w:r>
      <w:r>
        <w:rPr>
          <w:rFonts w:ascii="Calibri" w:hAnsi="Calibri"/>
          <w:color w:val="1A1A1A"/>
          <w:sz w:val="20"/>
        </w:rPr>
        <w:t>Series A worklist PAUSED pending Ainigma transaction resolving. Any RTO / reverse-merger deal with FJET MUST be reviewed against the Ainigma term sheet for exclusivity clauses before proceeding.</w:t>
      </w:r>
    </w:p>
    <w:p>
      <w:pPr>
        <w:spacing w:before="20" w:after="20"/>
      </w:pPr>
      <w:r>
        <w:rPr>
          <w:rFonts w:ascii="Calibri" w:hAnsi="Calibri"/>
          <w:b/>
          <w:color w:val="0A3D7C"/>
          <w:sz w:val="20"/>
        </w:rPr>
        <w:t xml:space="preserve">D. Scorpius commission-only (NEW — tonight 10/6):  </w:t>
      </w:r>
      <w:r>
        <w:rPr>
          <w:rFonts w:ascii="Calibri" w:hAnsi="Calibri"/>
          <w:color w:val="1A1A1A"/>
          <w:sz w:val="20"/>
        </w:rPr>
        <w:t>ROFR expired. Commission-only arrangement at 15%, no acquisition obligation. D-7281978 covers SSLC Sales Commission Agreement. Exos retains 18% equity in Scorpius.</w:t>
      </w:r>
    </w:p>
    <w:p>
      <w:pPr>
        <w:spacing w:before="20" w:after="20"/>
      </w:pPr>
      <w:r>
        <w:rPr>
          <w:rFonts w:ascii="Calibri" w:hAnsi="Calibri"/>
          <w:b/>
          <w:color w:val="0A3D7C"/>
          <w:sz w:val="20"/>
        </w:rPr>
        <w:t xml:space="preserve">Exos 409A valuation:  </w:t>
      </w:r>
      <w:r>
        <w:rPr>
          <w:rFonts w:ascii="Calibri" w:hAnsi="Calibri"/>
          <w:color w:val="1A1A1A"/>
          <w:sz w:val="20"/>
        </w:rPr>
        <w:t>$169.7M  (as of March 31, 2026)</w:t>
      </w:r>
    </w:p>
    <w:p>
      <w:pPr>
        <w:spacing w:before="20" w:after="20"/>
      </w:pPr>
      <w:r>
        <w:rPr>
          <w:rFonts w:ascii="Calibri" w:hAnsi="Calibri"/>
          <w:b/>
          <w:color w:val="0A3D7C"/>
          <w:sz w:val="20"/>
        </w:rPr>
        <w:t xml:space="preserve">Series A target:  </w:t>
      </w:r>
      <w:r>
        <w:rPr>
          <w:rFonts w:ascii="Calibri" w:hAnsi="Calibri"/>
          <w:color w:val="1A1A1A"/>
          <w:sz w:val="20"/>
        </w:rPr>
        <w:t>$10M–$25M  (D1–D4 figures locked Aug 13, 2026)</w:t>
      </w:r>
    </w:p>
    <w:p>
      <w:pPr>
        <w:spacing w:before="20" w:after="20"/>
      </w:pPr>
      <w:r>
        <w:rPr>
          <w:rFonts w:ascii="Calibri" w:hAnsi="Calibri"/>
          <w:b/>
          <w:color w:val="0A3D7C"/>
          <w:sz w:val="20"/>
        </w:rPr>
        <w:t xml:space="preserve">BLK3 first flight:  </w:t>
      </w:r>
      <w:r>
        <w:rPr>
          <w:rFonts w:ascii="Calibri" w:hAnsi="Calibri"/>
          <w:color w:val="1A1A1A"/>
          <w:sz w:val="20"/>
        </w:rPr>
        <w:t>Early 2027 (FAA license March 2026; never cite a specific month externally)</w:t>
      </w:r>
    </w:p>
    <w:p>
      <w:pPr>
        <w:spacing w:before="80" w:after="80"/>
      </w:pPr>
      <w:r>
        <w:rPr>
          <w:rFonts w:ascii="Calibri" w:hAnsi="Calibri"/>
          <w:b/>
          <w:color w:val="C00000"/>
          <w:sz w:val="18"/>
        </w:rPr>
        <w:t>⚠  Before executing any structure involving an RTO / reverse merger / public shell, confirm with Counsel whether the Ainigma term sheet contains an exclusivity or no-shop provision that would restrict Exos from entering such a transaction. This is a go/no-go gate for Structures B and C below.</w:t>
      </w:r>
    </w:p>
    <w:p>
      <w:pPr>
        <w:spacing w:before="280" w:after="80"/>
        <w:pBdr>
          <w:bottom w:val="single" w:sz="4" w:space="1" w:color="0A3D7C"/>
        </w:pBdr>
      </w:pPr>
      <w:r>
        <w:rPr>
          <w:rFonts w:ascii="Calibri" w:hAnsi="Calibri"/>
          <w:b/>
          <w:color w:val="0A3D7C"/>
          <w:sz w:val="24"/>
        </w:rPr>
        <w:t>2. STRUCTURE A — STRATEGIC EQUITY INVESTMENT BY FJET IN EXOS</w:t>
      </w:r>
    </w:p>
    <w:p>
      <w:pPr>
        <w:spacing w:before="80" w:after="80"/>
      </w:pPr>
      <w:r>
        <w:rPr>
          <w:rFonts w:ascii="Calibri" w:hAnsi="Calibri"/>
          <w:b/>
          <w:color w:val="C00000"/>
          <w:sz w:val="18"/>
        </w:rPr>
        <w:t>⚠  RULE 504 CAPACITY ISSUE — READ BEFORE PROCEEDING: Rule 504 caps total raises at $10M per rolling 12-month period (SEC Rule 504: https://www.sec.gov/smallbusiness/exemptofferings/rule504). Exos's existing 504 sales and Capital Bridge already consume some of that capacity. A $5–$10M FJET check could consume all remaining 504 headroom and block other 504 sales for the rest of the window. FJET is also a public institutional company — not an existing-relationship individual — which creates additional considerations under the no-general-solicitation requirement. Two sub-options are set out below; Counsel must confirm the chosen path before proceeding.</w:t>
      </w:r>
    </w:p>
    <w:p>
      <w:pPr>
        <w:spacing w:before="160" w:after="40"/>
      </w:pPr>
      <w:r>
        <w:rPr>
          <w:rFonts w:ascii="Calibri" w:hAnsi="Calibri"/>
          <w:b/>
          <w:color w:val="0A3D7C"/>
          <w:sz w:val="22"/>
        </w:rPr>
        <w:t>Concept</w:t>
      </w:r>
    </w:p>
    <w:p>
      <w:pPr>
        <w:spacing w:before="40" w:after="60"/>
      </w:pPr>
      <w:r>
        <w:rPr>
          <w:rFonts w:ascii="Calibri" w:hAnsi="Calibri"/>
          <w:b w:val="0"/>
          <w:i w:val="0"/>
          <w:color w:val="1A1A1A"/>
          <w:sz w:val="20"/>
        </w:rPr>
        <w:t>FJET deploys capital into Exos at Exos's current 409A valuation ($169.7M pre-money). FJET becomes a strategic minority investor. No change in Exos control or governance. The securities exemption for this investment depends on remaining 504 capacity (Sub-Option A1) or must move to a separate Rule 506(b) offering (Sub-Option A2).</w:t>
      </w:r>
    </w:p>
    <w:p>
      <w:pPr>
        <w:spacing w:before="160" w:after="40"/>
      </w:pPr>
      <w:r>
        <w:rPr>
          <w:rFonts w:ascii="Calibri" w:hAnsi="Calibri"/>
          <w:b/>
          <w:color w:val="0A3D7C"/>
          <w:sz w:val="22"/>
        </w:rPr>
        <w:t>Sub-Option A1 — Size Within Remaining 504 Capacity</w:t>
      </w:r>
    </w:p>
    <w:p>
      <w:pPr>
        <w:spacing w:before="20" w:after="20"/>
        <w:ind w:left="360" w:hanging="259"/>
      </w:pPr>
      <w:r>
        <w:rPr>
          <w:rFonts w:ascii="Calibri" w:hAnsi="Calibri"/>
          <w:color w:val="0A3D7C"/>
          <w:sz w:val="20"/>
        </w:rPr>
        <w:t xml:space="preserve">•  </w:t>
      </w:r>
      <w:r>
        <w:rPr>
          <w:rFonts w:ascii="Calibri" w:hAnsi="Calibri"/>
          <w:color w:val="1A1A1A"/>
          <w:sz w:val="20"/>
        </w:rPr>
        <w:t>Counsel confirms the 12-month rolling balance available under the current 504 offering after accounting for all prior sales and Capital Bridge commitments. FJET's check is sized to stay within that balance (likely well under $5M; exact figure TBD).</w:t>
      </w:r>
    </w:p>
    <w:p>
      <w:pPr>
        <w:spacing w:before="20" w:after="20"/>
        <w:ind w:left="360" w:hanging="259"/>
      </w:pPr>
      <w:r>
        <w:rPr>
          <w:rFonts w:ascii="Calibri" w:hAnsi="Calibri"/>
          <w:color w:val="0A3D7C"/>
          <w:sz w:val="20"/>
        </w:rPr>
        <w:t xml:space="preserve">•  </w:t>
      </w:r>
      <w:r>
        <w:rPr>
          <w:rFonts w:ascii="Calibri" w:hAnsi="Calibri"/>
          <w:color w:val="1A1A1A"/>
          <w:sz w:val="20"/>
        </w:rPr>
        <w:t>Advantage: no new offering exemption needed; flows directly into the existing 504 offering.</w:t>
      </w:r>
    </w:p>
    <w:p>
      <w:pPr>
        <w:spacing w:before="20" w:after="20"/>
        <w:ind w:left="360" w:hanging="259"/>
      </w:pPr>
      <w:r>
        <w:rPr>
          <w:rFonts w:ascii="Calibri" w:hAnsi="Calibri"/>
          <w:color w:val="0A3D7C"/>
          <w:sz w:val="20"/>
        </w:rPr>
        <w:t xml:space="preserve">•  </w:t>
      </w:r>
      <w:r>
        <w:rPr>
          <w:rFonts w:ascii="Calibri" w:hAnsi="Calibri"/>
          <w:color w:val="1A1A1A"/>
          <w:sz w:val="20"/>
        </w:rPr>
        <w:t>Risk: may limit FJET's check size materially; does not protect the 504 window for other investors who have existing-relationship status.</w:t>
      </w:r>
    </w:p>
    <w:p>
      <w:pPr>
        <w:spacing w:before="160" w:after="40"/>
      </w:pPr>
      <w:r>
        <w:rPr>
          <w:rFonts w:ascii="Calibri" w:hAnsi="Calibri"/>
          <w:b/>
          <w:color w:val="0A3D7C"/>
          <w:sz w:val="22"/>
        </w:rPr>
        <w:t>Sub-Option A2 — Separate Rule 506(b) Offering for FJET (Accredited Institutional Investor)</w:t>
      </w:r>
    </w:p>
    <w:p>
      <w:pPr>
        <w:spacing w:before="20" w:after="20"/>
        <w:ind w:left="360" w:hanging="259"/>
      </w:pPr>
      <w:r>
        <w:rPr>
          <w:rFonts w:ascii="Calibri" w:hAnsi="Calibri"/>
          <w:color w:val="0A3D7C"/>
          <w:sz w:val="20"/>
        </w:rPr>
        <w:t xml:space="preserve">•  </w:t>
      </w:r>
      <w:r>
        <w:rPr>
          <w:rFonts w:ascii="Calibri" w:hAnsi="Calibri"/>
          <w:color w:val="1A1A1A"/>
          <w:sz w:val="20"/>
        </w:rPr>
        <w:t>FJET qualifies as an 'accredited investor' under Rule 501(a) as an institutional entity. A separate Rule 506(b) offering accommodates any investment size — no $10M/yr cap — with no general solicitation, and allows up to 35 non-accredited investors (not applicable here).</w:t>
      </w:r>
    </w:p>
    <w:p>
      <w:pPr>
        <w:spacing w:before="20" w:after="20"/>
        <w:ind w:left="360" w:hanging="259"/>
      </w:pPr>
      <w:r>
        <w:rPr>
          <w:rFonts w:ascii="Calibri" w:hAnsi="Calibri"/>
          <w:color w:val="0A3D7C"/>
          <w:sz w:val="20"/>
        </w:rPr>
        <w:t xml:space="preserve">•  </w:t>
      </w:r>
      <w:r>
        <w:rPr>
          <w:rFonts w:ascii="Calibri" w:hAnsi="Calibri"/>
          <w:color w:val="1A1A1A"/>
          <w:sz w:val="20"/>
        </w:rPr>
        <w:t>Rule 152 integration analysis required: concurrent 504 and 506(b) offerings may be integrated as a single offering if the SEC deems them part of the same plan of financing. Rule 152 safe harbor (https://www.sec.gov/smallbusiness/exemptofferings/rule152) provides protection in certain circumstances — Counsel to confirm whether the 504 and 506(b) offerings can be structured to avoid integration. [COUNSEL TO CONFIRM]</w:t>
      </w:r>
    </w:p>
    <w:p>
      <w:pPr>
        <w:spacing w:before="20" w:after="20"/>
        <w:ind w:left="360" w:hanging="259"/>
      </w:pPr>
      <w:r>
        <w:rPr>
          <w:rFonts w:ascii="Calibri" w:hAnsi="Calibri"/>
          <w:color w:val="0A3D7C"/>
          <w:sz w:val="20"/>
        </w:rPr>
        <w:t xml:space="preserve">•  </w:t>
      </w:r>
      <w:r>
        <w:rPr>
          <w:rFonts w:ascii="Calibri" w:hAnsi="Calibri"/>
          <w:color w:val="1A1A1A"/>
          <w:sz w:val="20"/>
        </w:rPr>
        <w:t>If integration risk is manageable, A2 is the cleaner path: investment size $5M–$10M, 506(b) filing, separate Form D for the 506(b) tranche.</w:t>
      </w:r>
    </w:p>
    <w:p>
      <w:pPr>
        <w:spacing w:before="20" w:after="20"/>
        <w:ind w:left="360" w:hanging="259"/>
      </w:pPr>
      <w:r>
        <w:rPr>
          <w:rFonts w:ascii="Calibri" w:hAnsi="Calibri"/>
          <w:color w:val="0A3D7C"/>
          <w:sz w:val="20"/>
        </w:rPr>
        <w:t xml:space="preserve">•  </w:t>
      </w:r>
      <w:r>
        <w:rPr>
          <w:rFonts w:ascii="Calibri" w:hAnsi="Calibri"/>
          <w:color w:val="1A1A1A"/>
          <w:sz w:val="20"/>
        </w:rPr>
        <w:t>Exos post-money: $175–$180M at $5–$10M;  FJET dilution at Exos: ≈2.9%–5.6% — minimal.</w:t>
      </w:r>
    </w:p>
    <w:p>
      <w:pPr>
        <w:spacing w:before="160" w:after="40"/>
      </w:pPr>
      <w:r>
        <w:rPr>
          <w:rFonts w:ascii="Calibri" w:hAnsi="Calibri"/>
          <w:b/>
          <w:color w:val="0A3D7C"/>
          <w:sz w:val="22"/>
        </w:rPr>
        <w:t>FJET-side Considerations (both sub-options)</w:t>
      </w:r>
    </w:p>
    <w:p>
      <w:pPr>
        <w:spacing w:before="20" w:after="20"/>
        <w:ind w:left="360" w:hanging="259"/>
      </w:pPr>
      <w:r>
        <w:rPr>
          <w:rFonts w:ascii="Calibri" w:hAnsi="Calibri"/>
          <w:color w:val="0A3D7C"/>
          <w:sz w:val="20"/>
        </w:rPr>
        <w:t xml:space="preserve">•  </w:t>
      </w:r>
      <w:r>
        <w:rPr>
          <w:rFonts w:ascii="Calibri" w:hAnsi="Calibri"/>
          <w:color w:val="1A1A1A"/>
          <w:sz w:val="20"/>
        </w:rPr>
        <w:t>Investment treated as equity security on FJET's balance sheet. NYSE American Company Guide §712 shareholder approval required if FJET issues new shares to fund the investment and those shares exceed 20% of FJET outstanding. At $3.35/share, $10M = ≈2.99M new FJET shares ≈ 5.4% of 55M shares — well below 20%; board approval required, not shareholder vote.</w:t>
      </w:r>
    </w:p>
    <w:p>
      <w:pPr>
        <w:spacing w:before="20" w:after="20"/>
        <w:ind w:left="360" w:hanging="259"/>
      </w:pPr>
      <w:r>
        <w:rPr>
          <w:rFonts w:ascii="Calibri" w:hAnsi="Calibri"/>
          <w:color w:val="0A3D7C"/>
          <w:sz w:val="20"/>
        </w:rPr>
        <w:t xml:space="preserve">•  </w:t>
      </w:r>
      <w:r>
        <w:rPr>
          <w:rFonts w:ascii="Calibri" w:hAnsi="Calibri"/>
          <w:color w:val="1A1A1A"/>
          <w:sz w:val="20"/>
        </w:rPr>
        <w:t>MNPI: MOU already covers. FJET's public-company obligations require careful MNPI management.</w:t>
      </w:r>
    </w:p>
    <w:p>
      <w:pPr>
        <w:spacing w:before="20" w:after="20"/>
        <w:ind w:left="360" w:hanging="259"/>
      </w:pPr>
      <w:r>
        <w:rPr>
          <w:rFonts w:ascii="Calibri" w:hAnsi="Calibri"/>
          <w:color w:val="0A3D7C"/>
          <w:sz w:val="20"/>
        </w:rPr>
        <w:t xml:space="preserve">•  </w:t>
      </w:r>
      <w:r>
        <w:rPr>
          <w:rFonts w:ascii="Calibri" w:hAnsi="Calibri"/>
          <w:color w:val="1A1A1A"/>
          <w:sz w:val="20"/>
        </w:rPr>
        <w:t>No Ainigma exclusivity conflict expected (pure equity investment, not RTO/merger).</w:t>
      </w:r>
    </w:p>
    <w:p>
      <w:pPr>
        <w:spacing w:before="20" w:after="20"/>
        <w:ind w:left="360" w:hanging="259"/>
      </w:pPr>
      <w:r>
        <w:rPr>
          <w:rFonts w:ascii="Calibri" w:hAnsi="Calibri"/>
          <w:color w:val="0A3D7C"/>
          <w:sz w:val="20"/>
        </w:rPr>
        <w:t xml:space="preserve">•  </w:t>
      </w:r>
      <w:r>
        <w:rPr>
          <w:rFonts w:ascii="Calibri" w:hAnsi="Calibri"/>
          <w:color w:val="1A1A1A"/>
          <w:sz w:val="20"/>
        </w:rPr>
        <w:t>Cost to FJET: FJET cash burn ≈$10M/H1 — this likely requires FJET to conduct a new raise or use proceeds from a follow-on concurrent with this investment.</w:t>
      </w:r>
    </w:p>
    <w:p>
      <w:pPr>
        <w:spacing w:before="160" w:after="40"/>
      </w:pPr>
      <w:r>
        <w:rPr>
          <w:rFonts w:ascii="Calibri" w:hAnsi="Calibri"/>
          <w:b/>
          <w:color w:val="0A3D7C"/>
          <w:sz w:val="22"/>
        </w:rPr>
        <w:t>Pros</w:t>
      </w:r>
    </w:p>
    <w:p>
      <w:pPr>
        <w:spacing w:before="20" w:after="20"/>
        <w:ind w:left="360" w:hanging="259"/>
      </w:pPr>
      <w:r>
        <w:rPr>
          <w:rFonts w:ascii="Calibri" w:hAnsi="Calibri"/>
          <w:color w:val="0A3D7C"/>
          <w:sz w:val="20"/>
        </w:rPr>
        <w:t xml:space="preserve">•  </w:t>
      </w:r>
      <w:r>
        <w:rPr>
          <w:rFonts w:ascii="Calibri" w:hAnsi="Calibri"/>
          <w:color w:val="1A1A1A"/>
          <w:sz w:val="20"/>
        </w:rPr>
        <w:t>Deepens AEDC Velocity Alliance teaming relationship; provides Exos capital toward BLK3 first flight</w:t>
      </w:r>
    </w:p>
    <w:p>
      <w:pPr>
        <w:spacing w:before="20" w:after="20"/>
        <w:ind w:left="360" w:hanging="259"/>
      </w:pPr>
      <w:r>
        <w:rPr>
          <w:rFonts w:ascii="Calibri" w:hAnsi="Calibri"/>
          <w:color w:val="0A3D7C"/>
          <w:sz w:val="20"/>
        </w:rPr>
        <w:t xml:space="preserve">•  </w:t>
      </w:r>
      <w:r>
        <w:rPr>
          <w:rFonts w:ascii="Calibri" w:hAnsi="Calibri"/>
          <w:color w:val="1A1A1A"/>
          <w:sz w:val="20"/>
        </w:rPr>
        <w:t>FJET gains strategic exposure to Exos reusable-rocket upside without full-integration risk</w:t>
      </w:r>
    </w:p>
    <w:p>
      <w:pPr>
        <w:spacing w:before="20" w:after="20"/>
        <w:ind w:left="360" w:hanging="259"/>
      </w:pPr>
      <w:r>
        <w:rPr>
          <w:rFonts w:ascii="Calibri" w:hAnsi="Calibri"/>
          <w:color w:val="0A3D7C"/>
          <w:sz w:val="20"/>
        </w:rPr>
        <w:t xml:space="preserve">•  </w:t>
      </w:r>
      <w:r>
        <w:rPr>
          <w:rFonts w:ascii="Calibri" w:hAnsi="Calibri"/>
          <w:color w:val="1A1A1A"/>
          <w:sz w:val="20"/>
        </w:rPr>
        <w:t>No dilution to Exos's public-listing optionality on any future path (RTO, IPO, SPAC)</w:t>
      </w:r>
    </w:p>
    <w:p>
      <w:pPr>
        <w:spacing w:before="20" w:after="20"/>
        <w:ind w:left="360" w:hanging="259"/>
      </w:pPr>
      <w:r>
        <w:rPr>
          <w:rFonts w:ascii="Calibri" w:hAnsi="Calibri"/>
          <w:color w:val="0A3D7C"/>
          <w:sz w:val="20"/>
        </w:rPr>
        <w:t xml:space="preserve">•  </w:t>
      </w:r>
      <w:r>
        <w:rPr>
          <w:rFonts w:ascii="Calibri" w:hAnsi="Calibri"/>
          <w:color w:val="1A1A1A"/>
          <w:sz w:val="20"/>
        </w:rPr>
        <w:t>Sub-Option A2 (506(b)) removes the 504 cap constraint and protects the 504 window for other existing-relationship investors — preferred if Rule 152 analysis is favorable</w:t>
      </w:r>
    </w:p>
    <w:p>
      <w:pPr>
        <w:spacing w:before="160" w:after="40"/>
      </w:pPr>
      <w:r>
        <w:rPr>
          <w:rFonts w:ascii="Calibri" w:hAnsi="Calibri"/>
          <w:b/>
          <w:color w:val="0A3D7C"/>
          <w:sz w:val="22"/>
        </w:rPr>
        <w:t>Cons</w:t>
      </w:r>
    </w:p>
    <w:p>
      <w:pPr>
        <w:spacing w:before="20" w:after="20"/>
        <w:ind w:left="360" w:hanging="259"/>
      </w:pPr>
      <w:r>
        <w:rPr>
          <w:rFonts w:ascii="Calibri" w:hAnsi="Calibri"/>
          <w:color w:val="0A3D7C"/>
          <w:sz w:val="20"/>
        </w:rPr>
        <w:t xml:space="preserve">•  </w:t>
      </w:r>
      <w:r>
        <w:rPr>
          <w:rFonts w:ascii="Calibri" w:hAnsi="Calibri"/>
          <w:color w:val="1A1A1A"/>
          <w:sz w:val="20"/>
        </w:rPr>
        <w:t>FJET may not have $5–10M available given its cash position and burn rate</w:t>
      </w:r>
    </w:p>
    <w:p>
      <w:pPr>
        <w:spacing w:before="20" w:after="20"/>
        <w:ind w:left="360" w:hanging="259"/>
      </w:pPr>
      <w:r>
        <w:rPr>
          <w:rFonts w:ascii="Calibri" w:hAnsi="Calibri"/>
          <w:color w:val="0A3D7C"/>
          <w:sz w:val="20"/>
        </w:rPr>
        <w:t xml:space="preserve">•  </w:t>
      </w:r>
      <w:r>
        <w:rPr>
          <w:rFonts w:ascii="Calibri" w:hAnsi="Calibri"/>
          <w:color w:val="1A1A1A"/>
          <w:sz w:val="20"/>
        </w:rPr>
        <w:t>Minority stake does not materially re-rate FJET stock</w:t>
      </w:r>
    </w:p>
    <w:p>
      <w:pPr>
        <w:spacing w:before="20" w:after="20"/>
        <w:ind w:left="360" w:hanging="259"/>
      </w:pPr>
      <w:r>
        <w:rPr>
          <w:rFonts w:ascii="Calibri" w:hAnsi="Calibri"/>
          <w:color w:val="0A3D7C"/>
          <w:sz w:val="20"/>
        </w:rPr>
        <w:t xml:space="preserve">•  </w:t>
      </w:r>
      <w:r>
        <w:rPr>
          <w:rFonts w:ascii="Calibri" w:hAnsi="Calibri"/>
          <w:color w:val="1A1A1A"/>
          <w:sz w:val="20"/>
        </w:rPr>
        <w:t>Rule 152 integration analysis adds Counsel time before closing A2</w:t>
      </w:r>
    </w:p>
    <w:p>
      <w:pPr>
        <w:spacing w:before="20" w:after="20"/>
        <w:ind w:left="360" w:hanging="259"/>
      </w:pPr>
      <w:r>
        <w:rPr>
          <w:rFonts w:ascii="Calibri" w:hAnsi="Calibri"/>
          <w:color w:val="0A3D7C"/>
          <w:sz w:val="20"/>
        </w:rPr>
        <w:t xml:space="preserve">•  </w:t>
      </w:r>
      <w:r>
        <w:rPr>
          <w:rFonts w:ascii="Calibri" w:hAnsi="Calibri"/>
          <w:color w:val="1A1A1A"/>
          <w:sz w:val="20"/>
        </w:rPr>
        <w:t>May not satisfy Exos's full capital raise need as a standalone tranche</w:t>
      </w:r>
    </w:p>
    <w:p>
      <w:pPr>
        <w:spacing w:before="160" w:after="40"/>
      </w:pPr>
      <w:r>
        <w:rPr>
          <w:rFonts w:ascii="Calibri" w:hAnsi="Calibri"/>
          <w:b/>
          <w:color w:val="0A3D7C"/>
          <w:sz w:val="22"/>
        </w:rPr>
        <w:t>Timeline estimate</w:t>
      </w:r>
    </w:p>
    <w:p>
      <w:pPr>
        <w:spacing w:before="40" w:after="60"/>
      </w:pPr>
      <w:r>
        <w:rPr>
          <w:rFonts w:ascii="Calibri" w:hAnsi="Calibri"/>
          <w:b w:val="0"/>
          <w:i w:val="0"/>
          <w:color w:val="1A1A1A"/>
          <w:sz w:val="20"/>
        </w:rPr>
        <w:t>Sub-Option A1: 4–8 weeks if 504 capacity exists. Sub-Option A2: 6–10 weeks (add time for Rule 152 analysis and 506(b) Form D). Most time-efficient of all four structures once the exemption path is confirmed by Counsel.</w:t>
      </w:r>
    </w:p>
    <w:p>
      <w:pPr>
        <w:spacing w:before="160" w:after="40"/>
      </w:pPr>
      <w:r>
        <w:rPr>
          <w:rFonts w:ascii="Calibri" w:hAnsi="Calibri"/>
          <w:b/>
          <w:color w:val="0A3D7C"/>
          <w:sz w:val="22"/>
        </w:rPr>
        <w:t>Recommendation</w:t>
      </w:r>
    </w:p>
    <w:p>
      <w:pPr>
        <w:spacing w:before="40" w:after="60"/>
      </w:pPr>
      <w:r>
        <w:rPr>
          <w:rFonts w:ascii="Calibri" w:hAnsi="Calibri"/>
          <w:b/>
          <w:i w:val="0"/>
          <w:color w:val="1A1A1A"/>
          <w:sz w:val="20"/>
        </w:rPr>
        <w:t>Confirm with Counsel: (1) remaining 504 capacity and (2) Rule 152 integration analysis for a concurrent 506(b) tranche. Proceed with whichever sub-option Counsel approves. Propose this as the second track at the Tim meeting, with Structure C (JV/teaming) as Ask 1.</w:t>
      </w:r>
    </w:p>
    <w:p>
      <w:pPr>
        <w:spacing w:before="120" w:after="120"/>
      </w:pPr>
      <w:r>
        <w:rPr>
          <w:color w:val="555555"/>
          <w:sz w:val="16"/>
        </w:rPr>
        <w:t>────────────────────────────────────────────────────────────────────────────────</w:t>
      </w:r>
    </w:p>
    <w:p>
      <w:pPr>
        <w:spacing w:before="280" w:after="80"/>
        <w:pBdr>
          <w:bottom w:val="single" w:sz="4" w:space="1" w:color="0A3D7C"/>
        </w:pBdr>
      </w:pPr>
      <w:r>
        <w:rPr>
          <w:rFonts w:ascii="Calibri" w:hAnsi="Calibri"/>
          <w:b/>
          <w:color w:val="0A3D7C"/>
          <w:sz w:val="24"/>
        </w:rPr>
        <w:t>3. STRUCTURE B — STOCK-FOR-STOCK MERGER / EXOS BECOMES FJET SUBSIDIARY</w:t>
      </w:r>
    </w:p>
    <w:p>
      <w:pPr>
        <w:spacing w:before="80" w:after="80"/>
      </w:pPr>
      <w:r>
        <w:rPr>
          <w:rFonts w:ascii="Calibri" w:hAnsi="Calibri"/>
          <w:b/>
          <w:color w:val="C00000"/>
          <w:sz w:val="18"/>
        </w:rPr>
        <w:t>⚠  AINIGMA CONFLICT CHECK REQUIRED BEFORE PROCEEDING. If Ainigma term sheet includes an exclusivity or no-shop for RTO / reverse merger / public-company combination, this structure may be blocked until Ainigma resolves. Confirm with Counsel first.</w:t>
      </w:r>
    </w:p>
    <w:p>
      <w:pPr>
        <w:spacing w:before="160" w:after="40"/>
      </w:pPr>
      <w:r>
        <w:rPr>
          <w:rFonts w:ascii="Calibri" w:hAnsi="Calibri"/>
          <w:b/>
          <w:color w:val="0A3D7C"/>
          <w:sz w:val="22"/>
        </w:rPr>
        <w:t>Concept</w:t>
      </w:r>
    </w:p>
    <w:p>
      <w:pPr>
        <w:spacing w:before="40" w:after="60"/>
      </w:pPr>
      <w:r>
        <w:rPr>
          <w:rFonts w:ascii="Calibri" w:hAnsi="Calibri"/>
          <w:b w:val="0"/>
          <w:i w:val="0"/>
          <w:color w:val="1A1A1A"/>
          <w:sz w:val="20"/>
        </w:rPr>
        <w:t>Exos merges into Starfighters Space (or a newly formed FJET subsidiary). Exos shareholders receive FJET common stock at a negotiated exchange ratio based on relative valuations. Exos becomes an operating subsidiary. Result: Exos acquires public-company access without a separate IPO, SPAC, or third-party RTO process. This is a direct alternative to the Ainigma RTO.</w:t>
      </w:r>
    </w:p>
    <w:p>
      <w:pPr>
        <w:spacing w:before="160" w:after="40"/>
      </w:pPr>
      <w:r>
        <w:rPr>
          <w:rFonts w:ascii="Calibri" w:hAnsi="Calibri"/>
          <w:b/>
          <w:color w:val="0A3D7C"/>
          <w:sz w:val="22"/>
        </w:rPr>
        <w:t>Economics</w:t>
      </w:r>
    </w:p>
    <w:p>
      <w:pPr>
        <w:spacing w:before="20" w:after="20"/>
        <w:ind w:left="360" w:hanging="259"/>
      </w:pPr>
      <w:r>
        <w:rPr>
          <w:rFonts w:ascii="Calibri" w:hAnsi="Calibri"/>
          <w:color w:val="0A3D7C"/>
          <w:sz w:val="20"/>
        </w:rPr>
        <w:t xml:space="preserve">•  </w:t>
      </w:r>
      <w:r>
        <w:rPr>
          <w:rFonts w:ascii="Calibri" w:hAnsi="Calibri"/>
          <w:color w:val="1A1A1A"/>
          <w:sz w:val="20"/>
        </w:rPr>
        <w:t>Exos 409A pre-money: $169.7M  |  FJET market cap at $1.63: ≈$89.9M</w:t>
      </w:r>
    </w:p>
    <w:p>
      <w:pPr>
        <w:spacing w:before="20" w:after="20"/>
        <w:ind w:left="360" w:hanging="259"/>
      </w:pPr>
      <w:r>
        <w:rPr>
          <w:rFonts w:ascii="Calibri" w:hAnsi="Calibri"/>
          <w:color w:val="0A3D7C"/>
          <w:sz w:val="20"/>
        </w:rPr>
        <w:t xml:space="preserve">•  </w:t>
      </w:r>
      <w:r>
        <w:rPr>
          <w:rFonts w:ascii="Calibri" w:hAnsi="Calibri"/>
          <w:color w:val="1A1A1A"/>
          <w:sz w:val="20"/>
        </w:rPr>
        <w:t>Combined enterprise value (illustrative): ≈$260M pre-synergies — FJET would need to accept a significant premium to Exos ($169.7M / $260M = 65% of combined going to Exos shareholders)</w:t>
      </w:r>
    </w:p>
    <w:p>
      <w:pPr>
        <w:spacing w:before="20" w:after="20"/>
        <w:ind w:left="360" w:hanging="259"/>
      </w:pPr>
      <w:r>
        <w:rPr>
          <w:rFonts w:ascii="Calibri" w:hAnsi="Calibri"/>
          <w:color w:val="0A3D7C"/>
          <w:sz w:val="20"/>
        </w:rPr>
        <w:t xml:space="preserve">•  </w:t>
      </w:r>
      <w:r>
        <w:rPr>
          <w:rFonts w:ascii="Calibri" w:hAnsi="Calibri"/>
          <w:color w:val="1A1A1A"/>
          <w:sz w:val="20"/>
        </w:rPr>
        <w:t>Exchange ratio illustrative: 1 Exos share → ≈ 1.89 FJET shares (at $169.7M Exos / $1.63 FJET price, assuming no control premium). Actual ratio subject to negotiation, independent fairness opinion, and audit of Exos financials</w:t>
      </w:r>
    </w:p>
    <w:p>
      <w:pPr>
        <w:spacing w:before="20" w:after="20"/>
        <w:ind w:left="360" w:hanging="259"/>
      </w:pPr>
      <w:r>
        <w:rPr>
          <w:rFonts w:ascii="Calibri" w:hAnsi="Calibri"/>
          <w:color w:val="0A3D7C"/>
          <w:sz w:val="20"/>
        </w:rPr>
        <w:t xml:space="preserve">•  </w:t>
      </w:r>
      <w:r>
        <w:rPr>
          <w:rFonts w:ascii="Calibri" w:hAnsi="Calibri"/>
          <w:color w:val="1A1A1A"/>
          <w:sz w:val="20"/>
        </w:rPr>
        <w:t>Dilution to current FJET shareholders: significant — roughly 2x share count unless structure includes a capital raise concurrently</w:t>
      </w:r>
    </w:p>
    <w:p>
      <w:pPr>
        <w:spacing w:before="20" w:after="20"/>
        <w:ind w:left="360" w:hanging="259"/>
      </w:pPr>
      <w:r>
        <w:rPr>
          <w:rFonts w:ascii="Calibri" w:hAnsi="Calibri"/>
          <w:color w:val="0A3D7C"/>
          <w:sz w:val="20"/>
        </w:rPr>
        <w:t xml:space="preserve">•  </w:t>
      </w:r>
      <w:r>
        <w:rPr>
          <w:rFonts w:ascii="Calibri" w:hAnsi="Calibri"/>
          <w:color w:val="1A1A1A"/>
          <w:sz w:val="20"/>
        </w:rPr>
        <w:t>Pro forma combined entity: Exos + FJET shareholders each own ≈40–65% depending on negotiated ratio</w:t>
      </w:r>
    </w:p>
    <w:p>
      <w:pPr>
        <w:spacing w:before="160" w:after="40"/>
      </w:pPr>
      <w:r>
        <w:rPr>
          <w:rFonts w:ascii="Calibri" w:hAnsi="Calibri"/>
          <w:b/>
          <w:color w:val="0A3D7C"/>
          <w:sz w:val="22"/>
        </w:rPr>
        <w:t>Securities / Regulatory (most complex of all four structures)</w:t>
      </w:r>
    </w:p>
    <w:p>
      <w:pPr>
        <w:spacing w:before="20" w:after="20"/>
        <w:ind w:left="360" w:hanging="259"/>
      </w:pPr>
      <w:r>
        <w:rPr>
          <w:rFonts w:ascii="Calibri" w:hAnsi="Calibri"/>
          <w:color w:val="0A3D7C"/>
          <w:sz w:val="20"/>
        </w:rPr>
        <w:t xml:space="preserve">•  </w:t>
      </w:r>
      <w:r>
        <w:rPr>
          <w:rFonts w:ascii="Calibri" w:hAnsi="Calibri"/>
          <w:color w:val="1A1A1A"/>
          <w:sz w:val="20"/>
        </w:rPr>
        <w:t>FJET shareholder vote required: NYSE American §712 requires vote for issuances &gt;20% of outstanding shares. A full merger almost certainly crosses 20%. Proxy / information statement required</w:t>
      </w:r>
    </w:p>
    <w:p>
      <w:pPr>
        <w:spacing w:before="20" w:after="20"/>
        <w:ind w:left="360" w:hanging="259"/>
      </w:pPr>
      <w:r>
        <w:rPr>
          <w:rFonts w:ascii="Calibri" w:hAnsi="Calibri"/>
          <w:color w:val="0A3D7C"/>
          <w:sz w:val="20"/>
        </w:rPr>
        <w:t xml:space="preserve">•  </w:t>
      </w:r>
      <w:r>
        <w:rPr>
          <w:rFonts w:ascii="Calibri" w:hAnsi="Calibri"/>
          <w:color w:val="1A1A1A"/>
          <w:sz w:val="20"/>
        </w:rPr>
        <w:t>SEC registration: S-4 registration statement required for stock-for-stock merger. SEC review period typically 60–90 days minimum. Audited Exos financials required (Exos currently private — PCAOB-compliant audits needed)</w:t>
      </w:r>
    </w:p>
    <w:p>
      <w:pPr>
        <w:spacing w:before="20" w:after="20"/>
        <w:ind w:left="360" w:hanging="259"/>
      </w:pPr>
      <w:r>
        <w:rPr>
          <w:rFonts w:ascii="Calibri" w:hAnsi="Calibri"/>
          <w:color w:val="0A3D7C"/>
          <w:sz w:val="20"/>
        </w:rPr>
        <w:t xml:space="preserve">•  </w:t>
      </w:r>
      <w:r>
        <w:rPr>
          <w:rFonts w:ascii="Calibri" w:hAnsi="Calibri"/>
          <w:color w:val="1A1A1A"/>
          <w:sz w:val="20"/>
        </w:rPr>
        <w:t>FJET's current NYSE American listing: FJET must maintain continued-listing standards throughout the transaction; going concern disclosures and sub-$1 stock risk are real issues at current price</w:t>
      </w:r>
    </w:p>
    <w:p>
      <w:pPr>
        <w:spacing w:before="20" w:after="20"/>
        <w:ind w:left="360" w:hanging="259"/>
      </w:pPr>
      <w:r>
        <w:rPr>
          <w:rFonts w:ascii="Calibri" w:hAnsi="Calibri"/>
          <w:color w:val="0A3D7C"/>
          <w:sz w:val="20"/>
        </w:rPr>
        <w:t xml:space="preserve">•  </w:t>
      </w:r>
      <w:r>
        <w:rPr>
          <w:rFonts w:ascii="Calibri" w:hAnsi="Calibri"/>
          <w:color w:val="1A1A1A"/>
          <w:sz w:val="20"/>
        </w:rPr>
        <w:t>FJET stock at $1.63: if price falls below $1.00 for 30 consecutive days NYSE American may initiate delisting proceedings — this is a timing risk that could disrupt or terminate a deal</w:t>
      </w:r>
    </w:p>
    <w:p>
      <w:pPr>
        <w:spacing w:before="20" w:after="20"/>
        <w:ind w:left="360" w:hanging="259"/>
      </w:pPr>
      <w:r>
        <w:rPr>
          <w:rFonts w:ascii="Calibri" w:hAnsi="Calibri"/>
          <w:color w:val="0A3D7C"/>
          <w:sz w:val="20"/>
        </w:rPr>
        <w:t xml:space="preserve">•  </w:t>
      </w:r>
      <w:r>
        <w:rPr>
          <w:rFonts w:ascii="Calibri" w:hAnsi="Calibri"/>
          <w:color w:val="1A1A1A"/>
          <w:sz w:val="20"/>
        </w:rPr>
        <w:t>Reg D / Reg S compatibility: existing Exos Reg D 504 offering and Japan Reg S round must be suspended or terminated at the time of the S-4 filing to avoid integration-of-offerings issues; Counsel must confirm timing</w:t>
      </w:r>
    </w:p>
    <w:p>
      <w:pPr>
        <w:spacing w:before="20" w:after="20"/>
        <w:ind w:left="360" w:hanging="259"/>
      </w:pPr>
      <w:r>
        <w:rPr>
          <w:rFonts w:ascii="Calibri" w:hAnsi="Calibri"/>
          <w:color w:val="0A3D7C"/>
          <w:sz w:val="20"/>
        </w:rPr>
        <w:t xml:space="preserve">•  </w:t>
      </w:r>
      <w:r>
        <w:rPr>
          <w:rFonts w:ascii="Calibri" w:hAnsi="Calibri"/>
          <w:color w:val="1A1A1A"/>
          <w:sz w:val="20"/>
        </w:rPr>
        <w:t>ITAR/EAR: any transfer of Exos assets or technical data to a public company (even as a sub) requires export-control review if foreign shareholders are involved (Citadel, BlackRock, any foreign institutional holders of FJET)</w:t>
      </w:r>
    </w:p>
    <w:p>
      <w:pPr>
        <w:spacing w:before="160" w:after="40"/>
      </w:pPr>
      <w:r>
        <w:rPr>
          <w:rFonts w:ascii="Calibri" w:hAnsi="Calibri"/>
          <w:b/>
          <w:color w:val="0A3D7C"/>
          <w:sz w:val="22"/>
        </w:rPr>
        <w:t>Pros</w:t>
      </w:r>
    </w:p>
    <w:p>
      <w:pPr>
        <w:spacing w:before="20" w:after="20"/>
        <w:ind w:left="360" w:hanging="259"/>
      </w:pPr>
      <w:r>
        <w:rPr>
          <w:rFonts w:ascii="Calibri" w:hAnsi="Calibri"/>
          <w:color w:val="0A3D7C"/>
          <w:sz w:val="20"/>
        </w:rPr>
        <w:t xml:space="preserve">•  </w:t>
      </w:r>
      <w:r>
        <w:rPr>
          <w:rFonts w:ascii="Calibri" w:hAnsi="Calibri"/>
          <w:color w:val="1A1A1A"/>
          <w:sz w:val="20"/>
        </w:rPr>
        <w:t>Exos gains public-company capital markets access (at-the-market offerings, PIPE, registered direct) without a separate IPO timeline or SPAC fees</w:t>
      </w:r>
    </w:p>
    <w:p>
      <w:pPr>
        <w:spacing w:before="20" w:after="20"/>
        <w:ind w:left="360" w:hanging="259"/>
      </w:pPr>
      <w:r>
        <w:rPr>
          <w:rFonts w:ascii="Calibri" w:hAnsi="Calibri"/>
          <w:color w:val="0A3D7C"/>
          <w:sz w:val="20"/>
        </w:rPr>
        <w:t xml:space="preserve">•  </w:t>
      </w:r>
      <w:r>
        <w:rPr>
          <w:rFonts w:ascii="Calibri" w:hAnsi="Calibri"/>
          <w:color w:val="1A1A1A"/>
          <w:sz w:val="20"/>
        </w:rPr>
        <w:t>Eliminates need for the Ainigma RTO if executed instead</w:t>
      </w:r>
    </w:p>
    <w:p>
      <w:pPr>
        <w:spacing w:before="20" w:after="20"/>
        <w:ind w:left="360" w:hanging="259"/>
      </w:pPr>
      <w:r>
        <w:rPr>
          <w:rFonts w:ascii="Calibri" w:hAnsi="Calibri"/>
          <w:color w:val="0A3D7C"/>
          <w:sz w:val="20"/>
        </w:rPr>
        <w:t xml:space="preserve">•  </w:t>
      </w:r>
      <w:r>
        <w:rPr>
          <w:rFonts w:ascii="Calibri" w:hAnsi="Calibri"/>
          <w:color w:val="1A1A1A"/>
          <w:sz w:val="20"/>
        </w:rPr>
        <w:t>FJET gets Exos's FAA-licensed reusable launch, flight-test tech, and Scorpius relationship — could materially re-rate FJET stock</w:t>
      </w:r>
    </w:p>
    <w:p>
      <w:pPr>
        <w:spacing w:before="20" w:after="20"/>
        <w:ind w:left="360" w:hanging="259"/>
      </w:pPr>
      <w:r>
        <w:rPr>
          <w:rFonts w:ascii="Calibri" w:hAnsi="Calibri"/>
          <w:color w:val="0A3D7C"/>
          <w:sz w:val="20"/>
        </w:rPr>
        <w:t xml:space="preserve">•  </w:t>
      </w:r>
      <w:r>
        <w:rPr>
          <w:rFonts w:ascii="Calibri" w:hAnsi="Calibri"/>
          <w:color w:val="1A1A1A"/>
          <w:sz w:val="20"/>
        </w:rPr>
        <w:t>Combined entity is stronger for AEDC, Hermes AFRL, NASA on-ramp, and DoD prime teaming</w:t>
      </w:r>
    </w:p>
    <w:p>
      <w:pPr>
        <w:spacing w:before="160" w:after="40"/>
      </w:pPr>
      <w:r>
        <w:rPr>
          <w:rFonts w:ascii="Calibri" w:hAnsi="Calibri"/>
          <w:b/>
          <w:color w:val="0A3D7C"/>
          <w:sz w:val="22"/>
        </w:rPr>
        <w:t>Cons</w:t>
      </w:r>
    </w:p>
    <w:p>
      <w:pPr>
        <w:spacing w:before="20" w:after="20"/>
        <w:ind w:left="360" w:hanging="259"/>
      </w:pPr>
      <w:r>
        <w:rPr>
          <w:rFonts w:ascii="Calibri" w:hAnsi="Calibri"/>
          <w:color w:val="0A3D7C"/>
          <w:sz w:val="20"/>
        </w:rPr>
        <w:t xml:space="preserve">•  </w:t>
      </w:r>
      <w:r>
        <w:rPr>
          <w:rFonts w:ascii="Calibri" w:hAnsi="Calibri"/>
          <w:color w:val="1A1A1A"/>
          <w:sz w:val="20"/>
        </w:rPr>
        <w:t>Highest complexity, longest timeline (6–18 months with S-4)</w:t>
      </w:r>
    </w:p>
    <w:p>
      <w:pPr>
        <w:spacing w:before="20" w:after="20"/>
        <w:ind w:left="360" w:hanging="259"/>
      </w:pPr>
      <w:r>
        <w:rPr>
          <w:rFonts w:ascii="Calibri" w:hAnsi="Calibri"/>
          <w:color w:val="0A3D7C"/>
          <w:sz w:val="20"/>
        </w:rPr>
        <w:t xml:space="preserve">•  </w:t>
      </w:r>
      <w:r>
        <w:rPr>
          <w:rFonts w:ascii="Calibri" w:hAnsi="Calibri"/>
          <w:color w:val="1A1A1A"/>
          <w:sz w:val="20"/>
        </w:rPr>
        <w:t>FJET's financial condition (going concern, material weakness) creates due-diligence and public-market risk for Exos shareholders</w:t>
      </w:r>
    </w:p>
    <w:p>
      <w:pPr>
        <w:spacing w:before="20" w:after="20"/>
        <w:ind w:left="360" w:hanging="259"/>
      </w:pPr>
      <w:r>
        <w:rPr>
          <w:rFonts w:ascii="Calibri" w:hAnsi="Calibri"/>
          <w:color w:val="0A3D7C"/>
          <w:sz w:val="20"/>
        </w:rPr>
        <w:t xml:space="preserve">•  </w:t>
      </w:r>
      <w:r>
        <w:rPr>
          <w:rFonts w:ascii="Calibri" w:hAnsi="Calibri"/>
          <w:color w:val="1A1A1A"/>
          <w:sz w:val="20"/>
        </w:rPr>
        <w:t>FJET stock decline risk (−86% YTD) means Exos shareholders could receive shares worth far less by close than at signing</w:t>
      </w:r>
    </w:p>
    <w:p>
      <w:pPr>
        <w:spacing w:before="20" w:after="20"/>
        <w:ind w:left="360" w:hanging="259"/>
      </w:pPr>
      <w:r>
        <w:rPr>
          <w:rFonts w:ascii="Calibri" w:hAnsi="Calibri"/>
          <w:color w:val="0A3D7C"/>
          <w:sz w:val="20"/>
        </w:rPr>
        <w:t xml:space="preserve">•  </w:t>
      </w:r>
      <w:r>
        <w:rPr>
          <w:rFonts w:ascii="Calibri" w:hAnsi="Calibri"/>
          <w:color w:val="1A1A1A"/>
          <w:sz w:val="20"/>
        </w:rPr>
        <w:t>Ainigma exclusivity may block this path entirely</w:t>
      </w:r>
    </w:p>
    <w:p>
      <w:pPr>
        <w:spacing w:before="20" w:after="20"/>
        <w:ind w:left="360" w:hanging="259"/>
      </w:pPr>
      <w:r>
        <w:rPr>
          <w:rFonts w:ascii="Calibri" w:hAnsi="Calibri"/>
          <w:color w:val="0A3D7C"/>
          <w:sz w:val="20"/>
        </w:rPr>
        <w:t xml:space="preserve">•  </w:t>
      </w:r>
      <w:r>
        <w:rPr>
          <w:rFonts w:ascii="Calibri" w:hAnsi="Calibri"/>
          <w:color w:val="1A1A1A"/>
          <w:sz w:val="20"/>
        </w:rPr>
        <w:t>Exos audited financials required — cost and time</w:t>
      </w:r>
    </w:p>
    <w:p>
      <w:pPr>
        <w:spacing w:before="160" w:after="40"/>
      </w:pPr>
      <w:r>
        <w:rPr>
          <w:rFonts w:ascii="Calibri" w:hAnsi="Calibri"/>
          <w:b/>
          <w:color w:val="0A3D7C"/>
          <w:sz w:val="22"/>
        </w:rPr>
        <w:t>Timeline estimate</w:t>
      </w:r>
    </w:p>
    <w:p>
      <w:pPr>
        <w:spacing w:before="40" w:after="60"/>
      </w:pPr>
      <w:r>
        <w:rPr>
          <w:rFonts w:ascii="Calibri" w:hAnsi="Calibri"/>
          <w:b w:val="0"/>
          <w:i w:val="0"/>
          <w:color w:val="1A1A1A"/>
          <w:sz w:val="20"/>
        </w:rPr>
        <w:t>12–18 months minimum (PCAOB audit + S-4 filing + SEC review + FJET shareholder vote + closing). Only viable if Ainigma RTO is abandoned or resolved, and FJET listing remains stable.</w:t>
      </w:r>
    </w:p>
    <w:p>
      <w:pPr>
        <w:spacing w:before="160" w:after="40"/>
      </w:pPr>
      <w:r>
        <w:rPr>
          <w:rFonts w:ascii="Calibri" w:hAnsi="Calibri"/>
          <w:b/>
          <w:color w:val="0A3D7C"/>
          <w:sz w:val="22"/>
        </w:rPr>
        <w:t>Recommendation</w:t>
      </w:r>
    </w:p>
    <w:p>
      <w:pPr>
        <w:spacing w:before="40" w:after="60"/>
      </w:pPr>
      <w:r>
        <w:rPr>
          <w:rFonts w:ascii="Calibri" w:hAnsi="Calibri"/>
          <w:b/>
          <w:i w:val="0"/>
          <w:color w:val="1A1A1A"/>
          <w:sz w:val="20"/>
        </w:rPr>
        <w:t>High-upside but high-risk. Not recommended as the primary path given Ainigma exclusivity uncertainty and FJET's financial condition. Explore only if Ainigma RTO fails and FJET stabilizes above $2.00.</w:t>
      </w:r>
    </w:p>
    <w:p>
      <w:pPr>
        <w:spacing w:before="120" w:after="120"/>
      </w:pPr>
      <w:r>
        <w:rPr>
          <w:color w:val="555555"/>
          <w:sz w:val="16"/>
        </w:rPr>
        <w:t>────────────────────────────────────────────────────────────────────────────────</w:t>
      </w:r>
    </w:p>
    <w:p>
      <w:pPr>
        <w:spacing w:before="280" w:after="80"/>
        <w:pBdr>
          <w:bottom w:val="single" w:sz="4" w:space="1" w:color="0A3D7C"/>
        </w:pBdr>
      </w:pPr>
      <w:r>
        <w:rPr>
          <w:rFonts w:ascii="Calibri" w:hAnsi="Calibri"/>
          <w:b/>
          <w:color w:val="0A3D7C"/>
          <w:sz w:val="24"/>
        </w:rPr>
        <w:t>4. STRUCTURE C — JV / TEAMING + FLIGHT-TEST SERVICES OFFTAKE</w:t>
      </w:r>
    </w:p>
    <w:p>
      <w:pPr>
        <w:spacing w:before="160" w:after="40"/>
      </w:pPr>
      <w:r>
        <w:rPr>
          <w:rFonts w:ascii="Calibri" w:hAnsi="Calibri"/>
          <w:b/>
          <w:color w:val="0A3D7C"/>
          <w:sz w:val="22"/>
        </w:rPr>
        <w:t>Concept</w:t>
      </w:r>
    </w:p>
    <w:p>
      <w:pPr>
        <w:spacing w:before="40" w:after="60"/>
      </w:pPr>
      <w:r>
        <w:rPr>
          <w:rFonts w:ascii="Calibri" w:hAnsi="Calibri"/>
          <w:b w:val="0"/>
          <w:i w:val="0"/>
          <w:color w:val="1A1A1A"/>
          <w:sz w:val="20"/>
        </w:rPr>
        <w:t>Exos and Starfighters formalize a joint-venture or long-term teaming agreement that creates a combined supersonic-aircraft + suborbital-rocket flight-test capability ladder. Exos provides suborbital payload services (BLK3, above 85 km) and reusable composite structure qualification. FJET provides captive-carry supersonic flight test (above Mach 2) on its F-104 fleet. The combined test ladder covers atmospheric (FJET) through Kármán line (Exos). Structure includes a multi-year offtake commitment by each party to include the other on bid responses, plus warrants as an alignment mechanism.</w:t>
      </w:r>
    </w:p>
    <w:p>
      <w:pPr>
        <w:spacing w:before="160" w:after="40"/>
      </w:pPr>
      <w:r>
        <w:rPr>
          <w:rFonts w:ascii="Calibri" w:hAnsi="Calibri"/>
          <w:b/>
          <w:color w:val="0A3D7C"/>
          <w:sz w:val="22"/>
        </w:rPr>
        <w:t>Economics</w:t>
      </w:r>
    </w:p>
    <w:p>
      <w:pPr>
        <w:spacing w:before="20" w:after="20"/>
        <w:ind w:left="360" w:hanging="259"/>
      </w:pPr>
      <w:r>
        <w:rPr>
          <w:rFonts w:ascii="Calibri" w:hAnsi="Calibri"/>
          <w:color w:val="0A3D7C"/>
          <w:sz w:val="20"/>
        </w:rPr>
        <w:t xml:space="preserve">•  </w:t>
      </w:r>
      <w:r>
        <w:rPr>
          <w:rFonts w:ascii="Calibri" w:hAnsi="Calibri"/>
          <w:color w:val="1A1A1A"/>
          <w:sz w:val="20"/>
        </w:rPr>
        <w:t>No direct cash investment required from either party at formation</w:t>
      </w:r>
    </w:p>
    <w:p>
      <w:pPr>
        <w:spacing w:before="20" w:after="20"/>
        <w:ind w:left="360" w:hanging="259"/>
      </w:pPr>
      <w:r>
        <w:rPr>
          <w:rFonts w:ascii="Calibri" w:hAnsi="Calibri"/>
          <w:color w:val="0A3D7C"/>
          <w:sz w:val="20"/>
        </w:rPr>
        <w:t xml:space="preserve">•  </w:t>
      </w:r>
      <w:r>
        <w:rPr>
          <w:rFonts w:ascii="Calibri" w:hAnsi="Calibri"/>
          <w:color w:val="1A1A1A"/>
          <w:sz w:val="20"/>
        </w:rPr>
        <w:t>Revenue share: negotiated per-contract split (illustrative: 70/30 to the platform provider on jointly won contracts)</w:t>
      </w:r>
    </w:p>
    <w:p>
      <w:pPr>
        <w:spacing w:before="20" w:after="20"/>
        <w:ind w:left="360" w:hanging="259"/>
      </w:pPr>
      <w:r>
        <w:rPr>
          <w:rFonts w:ascii="Calibri" w:hAnsi="Calibri"/>
          <w:color w:val="0A3D7C"/>
          <w:sz w:val="20"/>
        </w:rPr>
        <w:t xml:space="preserve">•  </w:t>
      </w:r>
      <w:r>
        <w:rPr>
          <w:rFonts w:ascii="Calibri" w:hAnsi="Calibri"/>
          <w:color w:val="1A1A1A"/>
          <w:sz w:val="20"/>
        </w:rPr>
        <w:t>Warrants: FJET receives Exos warrants (illustrative: 1.0%–2.0% of Exos fully diluted at $169.7M pre-money exercise price) upon execution; Exos may receive FJET warrants symmetrically. Aligns long-term incentives without up-front cash</w:t>
      </w:r>
    </w:p>
    <w:p>
      <w:pPr>
        <w:spacing w:before="20" w:after="20"/>
        <w:ind w:left="360" w:hanging="259"/>
      </w:pPr>
      <w:r>
        <w:rPr>
          <w:rFonts w:ascii="Calibri" w:hAnsi="Calibri"/>
          <w:color w:val="0A3D7C"/>
          <w:sz w:val="20"/>
        </w:rPr>
        <w:t xml:space="preserve">•  </w:t>
      </w:r>
      <w:r>
        <w:rPr>
          <w:rFonts w:ascii="Calibri" w:hAnsi="Calibri"/>
          <w:color w:val="1A1A1A"/>
          <w:sz w:val="20"/>
        </w:rPr>
        <w:t>Target combined contract wins: AEDC Velocity Alliance, AFRL hypersonic test, DoD captive-carry programs, NASA HASTE-equivalent — potential $5M–$50M in jointly addressable backlog</w:t>
      </w:r>
    </w:p>
    <w:p>
      <w:pPr>
        <w:spacing w:before="160" w:after="40"/>
      </w:pPr>
      <w:r>
        <w:rPr>
          <w:rFonts w:ascii="Calibri" w:hAnsi="Calibri"/>
          <w:b/>
          <w:color w:val="0A3D7C"/>
          <w:sz w:val="22"/>
        </w:rPr>
        <w:t>Securities / Regulatory</w:t>
      </w:r>
    </w:p>
    <w:p>
      <w:pPr>
        <w:spacing w:before="20" w:after="20"/>
        <w:ind w:left="360" w:hanging="259"/>
      </w:pPr>
      <w:r>
        <w:rPr>
          <w:rFonts w:ascii="Calibri" w:hAnsi="Calibri"/>
          <w:color w:val="0A3D7C"/>
          <w:sz w:val="20"/>
        </w:rPr>
        <w:t xml:space="preserve">•  </w:t>
      </w:r>
      <w:r>
        <w:rPr>
          <w:rFonts w:ascii="Calibri" w:hAnsi="Calibri"/>
          <w:color w:val="1A1A1A"/>
          <w:sz w:val="20"/>
        </w:rPr>
        <w:t>Warrant issuance by Exos: fits inside Reg D 504 offering as a warrant component or as a separate Reg D 506(b) issuance to FJET (accredited investor). Annual cap must not be exceeded</w:t>
      </w:r>
    </w:p>
    <w:p>
      <w:pPr>
        <w:spacing w:before="20" w:after="20"/>
        <w:ind w:left="360" w:hanging="259"/>
      </w:pPr>
      <w:r>
        <w:rPr>
          <w:rFonts w:ascii="Calibri" w:hAnsi="Calibri"/>
          <w:color w:val="0A3D7C"/>
          <w:sz w:val="20"/>
        </w:rPr>
        <w:t xml:space="preserve">•  </w:t>
      </w:r>
      <w:r>
        <w:rPr>
          <w:rFonts w:ascii="Calibri" w:hAnsi="Calibri"/>
          <w:color w:val="1A1A1A"/>
          <w:sz w:val="20"/>
        </w:rPr>
        <w:t>FJET warrant issuance: requires FJET board approval; if &gt;20% of outstanding, FJET shareholder vote. At illustrative 1–2% warrant size (0.55M–1.1M FJET shares), well below 20% — no vote required</w:t>
      </w:r>
    </w:p>
    <w:p>
      <w:pPr>
        <w:spacing w:before="20" w:after="20"/>
        <w:ind w:left="360" w:hanging="259"/>
      </w:pPr>
      <w:r>
        <w:rPr>
          <w:rFonts w:ascii="Calibri" w:hAnsi="Calibri"/>
          <w:color w:val="0A3D7C"/>
          <w:sz w:val="20"/>
        </w:rPr>
        <w:t xml:space="preserve">•  </w:t>
      </w:r>
      <w:r>
        <w:rPr>
          <w:rFonts w:ascii="Calibri" w:hAnsi="Calibri"/>
          <w:color w:val="1A1A1A"/>
          <w:sz w:val="20"/>
        </w:rPr>
        <w:t>JV entity (if formed): Delaware LLC or Texas LP; no SEC registration needed if no securities issued at the JV level</w:t>
      </w:r>
    </w:p>
    <w:p>
      <w:pPr>
        <w:spacing w:before="20" w:after="20"/>
        <w:ind w:left="360" w:hanging="259"/>
      </w:pPr>
      <w:r>
        <w:rPr>
          <w:rFonts w:ascii="Calibri" w:hAnsi="Calibri"/>
          <w:color w:val="0A3D7C"/>
          <w:sz w:val="20"/>
        </w:rPr>
        <w:t xml:space="preserve">•  </w:t>
      </w:r>
      <w:r>
        <w:rPr>
          <w:rFonts w:ascii="Calibri" w:hAnsi="Calibri"/>
          <w:color w:val="1A1A1A"/>
          <w:sz w:val="20"/>
        </w:rPr>
        <w:t>No Ainigma exclusivity conflict expected (teaming / JV is not an RTO / reverse merger)</w:t>
      </w:r>
    </w:p>
    <w:p>
      <w:pPr>
        <w:spacing w:before="160" w:after="40"/>
      </w:pPr>
      <w:r>
        <w:rPr>
          <w:rFonts w:ascii="Calibri" w:hAnsi="Calibri"/>
          <w:b/>
          <w:color w:val="0A3D7C"/>
          <w:sz w:val="22"/>
        </w:rPr>
        <w:t>Pros</w:t>
      </w:r>
    </w:p>
    <w:p>
      <w:pPr>
        <w:spacing w:before="20" w:after="20"/>
        <w:ind w:left="360" w:hanging="259"/>
      </w:pPr>
      <w:r>
        <w:rPr>
          <w:rFonts w:ascii="Calibri" w:hAnsi="Calibri"/>
          <w:color w:val="0A3D7C"/>
          <w:sz w:val="20"/>
        </w:rPr>
        <w:t xml:space="preserve">•  </w:t>
      </w:r>
      <w:r>
        <w:rPr>
          <w:rFonts w:ascii="Calibri" w:hAnsi="Calibri"/>
          <w:color w:val="1A1A1A"/>
          <w:sz w:val="20"/>
        </w:rPr>
        <w:t>Lowest barrier to execution — can close in 30–60 days (teaming agreement + warrants + NDA already in place)</w:t>
      </w:r>
    </w:p>
    <w:p>
      <w:pPr>
        <w:spacing w:before="20" w:after="20"/>
        <w:ind w:left="360" w:hanging="259"/>
      </w:pPr>
      <w:r>
        <w:rPr>
          <w:rFonts w:ascii="Calibri" w:hAnsi="Calibri"/>
          <w:color w:val="0A3D7C"/>
          <w:sz w:val="20"/>
        </w:rPr>
        <w:t xml:space="preserve">•  </w:t>
      </w:r>
      <w:r>
        <w:rPr>
          <w:rFonts w:ascii="Calibri" w:hAnsi="Calibri"/>
          <w:color w:val="1A1A1A"/>
          <w:sz w:val="20"/>
        </w:rPr>
        <w:t>Directly supports AEDC Velocity Alliance and AFRL programs in near term</w:t>
      </w:r>
    </w:p>
    <w:p>
      <w:pPr>
        <w:spacing w:before="20" w:after="20"/>
        <w:ind w:left="360" w:hanging="259"/>
      </w:pPr>
      <w:r>
        <w:rPr>
          <w:rFonts w:ascii="Calibri" w:hAnsi="Calibri"/>
          <w:color w:val="0A3D7C"/>
          <w:sz w:val="20"/>
        </w:rPr>
        <w:t xml:space="preserve">•  </w:t>
      </w:r>
      <w:r>
        <w:rPr>
          <w:rFonts w:ascii="Calibri" w:hAnsi="Calibri"/>
          <w:color w:val="1A1A1A"/>
          <w:sz w:val="20"/>
        </w:rPr>
        <w:t>Creates a differentiated go-to-market: 'the only commercial test ladder from Mach 2 to the Kármán line'</w:t>
      </w:r>
    </w:p>
    <w:p>
      <w:pPr>
        <w:spacing w:before="20" w:after="20"/>
        <w:ind w:left="360" w:hanging="259"/>
      </w:pPr>
      <w:r>
        <w:rPr>
          <w:rFonts w:ascii="Calibri" w:hAnsi="Calibri"/>
          <w:color w:val="0A3D7C"/>
          <w:sz w:val="20"/>
        </w:rPr>
        <w:t xml:space="preserve">•  </w:t>
      </w:r>
      <w:r>
        <w:rPr>
          <w:rFonts w:ascii="Calibri" w:hAnsi="Calibri"/>
          <w:color w:val="1A1A1A"/>
          <w:sz w:val="20"/>
        </w:rPr>
        <w:t>Warrant upside for both parties aligns incentives without cash outlay</w:t>
      </w:r>
    </w:p>
    <w:p>
      <w:pPr>
        <w:spacing w:before="20" w:after="20"/>
        <w:ind w:left="360" w:hanging="259"/>
      </w:pPr>
      <w:r>
        <w:rPr>
          <w:rFonts w:ascii="Calibri" w:hAnsi="Calibri"/>
          <w:color w:val="0A3D7C"/>
          <w:sz w:val="20"/>
        </w:rPr>
        <w:t xml:space="preserve">•  </w:t>
      </w:r>
      <w:r>
        <w:rPr>
          <w:rFonts w:ascii="Calibri" w:hAnsi="Calibri"/>
          <w:color w:val="1A1A1A"/>
          <w:sz w:val="20"/>
        </w:rPr>
        <w:t>No regulatory complexity; doesn't touch Ainigma/RTO structures</w:t>
      </w:r>
    </w:p>
    <w:p>
      <w:pPr>
        <w:spacing w:before="160" w:after="40"/>
      </w:pPr>
      <w:r>
        <w:rPr>
          <w:rFonts w:ascii="Calibri" w:hAnsi="Calibri"/>
          <w:b/>
          <w:color w:val="0A3D7C"/>
          <w:sz w:val="22"/>
        </w:rPr>
        <w:t>Cons</w:t>
      </w:r>
    </w:p>
    <w:p>
      <w:pPr>
        <w:spacing w:before="20" w:after="20"/>
        <w:ind w:left="360" w:hanging="259"/>
      </w:pPr>
      <w:r>
        <w:rPr>
          <w:rFonts w:ascii="Calibri" w:hAnsi="Calibri"/>
          <w:color w:val="0A3D7C"/>
          <w:sz w:val="20"/>
        </w:rPr>
        <w:t xml:space="preserve">•  </w:t>
      </w:r>
      <w:r>
        <w:rPr>
          <w:rFonts w:ascii="Calibri" w:hAnsi="Calibri"/>
          <w:color w:val="1A1A1A"/>
          <w:sz w:val="20"/>
        </w:rPr>
        <w:t>Does not directly solve Exos's capital raise need</w:t>
      </w:r>
    </w:p>
    <w:p>
      <w:pPr>
        <w:spacing w:before="20" w:after="20"/>
        <w:ind w:left="360" w:hanging="259"/>
      </w:pPr>
      <w:r>
        <w:rPr>
          <w:rFonts w:ascii="Calibri" w:hAnsi="Calibri"/>
          <w:color w:val="0A3D7C"/>
          <w:sz w:val="20"/>
        </w:rPr>
        <w:t xml:space="preserve">•  </w:t>
      </w:r>
      <w:r>
        <w:rPr>
          <w:rFonts w:ascii="Calibri" w:hAnsi="Calibri"/>
          <w:color w:val="1A1A1A"/>
          <w:sz w:val="20"/>
        </w:rPr>
        <w:t>Revenue realization depends on jointly winning contracts — indirect / longer-cycle</w:t>
      </w:r>
    </w:p>
    <w:p>
      <w:pPr>
        <w:spacing w:before="20" w:after="20"/>
        <w:ind w:left="360" w:hanging="259"/>
      </w:pPr>
      <w:r>
        <w:rPr>
          <w:rFonts w:ascii="Calibri" w:hAnsi="Calibri"/>
          <w:color w:val="0A3D7C"/>
          <w:sz w:val="20"/>
        </w:rPr>
        <w:t xml:space="preserve">•  </w:t>
      </w:r>
      <w:r>
        <w:rPr>
          <w:rFonts w:ascii="Calibri" w:hAnsi="Calibri"/>
          <w:color w:val="1A1A1A"/>
          <w:sz w:val="20"/>
        </w:rPr>
        <w:t>FJET's own financial pressure may limit their ability to invest in BD for joint pursuits</w:t>
      </w:r>
    </w:p>
    <w:p>
      <w:pPr>
        <w:spacing w:before="20" w:after="20"/>
        <w:ind w:left="360" w:hanging="259"/>
      </w:pPr>
      <w:r>
        <w:rPr>
          <w:rFonts w:ascii="Calibri" w:hAnsi="Calibri"/>
          <w:color w:val="0A3D7C"/>
          <w:sz w:val="20"/>
        </w:rPr>
        <w:t xml:space="preserve">•  </w:t>
      </w:r>
      <w:r>
        <w:rPr>
          <w:rFonts w:ascii="Calibri" w:hAnsi="Calibri"/>
          <w:color w:val="1A1A1A"/>
          <w:sz w:val="20"/>
        </w:rPr>
        <w:t>Warrant dilution to existing Exos and FJET shareholders, even if modest</w:t>
      </w:r>
    </w:p>
    <w:p>
      <w:pPr>
        <w:spacing w:before="160" w:after="40"/>
      </w:pPr>
      <w:r>
        <w:rPr>
          <w:rFonts w:ascii="Calibri" w:hAnsi="Calibri"/>
          <w:b/>
          <w:color w:val="0A3D7C"/>
          <w:sz w:val="22"/>
        </w:rPr>
        <w:t>Timeline estimate</w:t>
      </w:r>
    </w:p>
    <w:p>
      <w:pPr>
        <w:spacing w:before="40" w:after="60"/>
      </w:pPr>
      <w:r>
        <w:rPr>
          <w:rFonts w:ascii="Calibri" w:hAnsi="Calibri"/>
          <w:b w:val="0"/>
          <w:i w:val="0"/>
          <w:color w:val="1A1A1A"/>
          <w:sz w:val="20"/>
        </w:rPr>
        <w:t>30–60 days from term sheet to signed agreement. RECOMMENDED as an immediate parallel track alongside Structure A.</w:t>
      </w:r>
    </w:p>
    <w:p>
      <w:pPr>
        <w:spacing w:before="160" w:after="40"/>
      </w:pPr>
      <w:r>
        <w:rPr>
          <w:rFonts w:ascii="Calibri" w:hAnsi="Calibri"/>
          <w:b/>
          <w:color w:val="0A3D7C"/>
          <w:sz w:val="22"/>
        </w:rPr>
        <w:t>Recommendation</w:t>
      </w:r>
    </w:p>
    <w:p>
      <w:pPr>
        <w:spacing w:before="40" w:after="60"/>
      </w:pPr>
      <w:r>
        <w:rPr>
          <w:rFonts w:ascii="Calibri" w:hAnsi="Calibri"/>
          <w:b/>
          <w:i w:val="0"/>
          <w:color w:val="1A1A1A"/>
          <w:sz w:val="20"/>
        </w:rPr>
        <w:t>Best near-term strategic move. Execute JV/teaming agreement and warrant package in parallel with raising Structure A capital. Builds the combined test-ladder narrative for investors and government customers immediately.</w:t>
      </w:r>
    </w:p>
    <w:p>
      <w:pPr>
        <w:spacing w:before="120" w:after="120"/>
      </w:pPr>
      <w:r>
        <w:rPr>
          <w:color w:val="555555"/>
          <w:sz w:val="16"/>
        </w:rPr>
        <w:t>────────────────────────────────────────────────────────────────────────────────</w:t>
      </w:r>
    </w:p>
    <w:p>
      <w:pPr>
        <w:spacing w:before="280" w:after="80"/>
        <w:pBdr>
          <w:bottom w:val="single" w:sz="4" w:space="1" w:color="0A3D7C"/>
        </w:pBdr>
      </w:pPr>
      <w:r>
        <w:rPr>
          <w:rFonts w:ascii="Calibri" w:hAnsi="Calibri"/>
          <w:b/>
          <w:color w:val="0A3D7C"/>
          <w:sz w:val="24"/>
        </w:rPr>
        <w:t>5. STRUCTURE D — ASSET / COMMERCIAL DEAL + WARRANTS</w:t>
      </w:r>
    </w:p>
    <w:p>
      <w:pPr>
        <w:spacing w:before="160" w:after="40"/>
      </w:pPr>
      <w:r>
        <w:rPr>
          <w:rFonts w:ascii="Calibri" w:hAnsi="Calibri"/>
          <w:b/>
          <w:color w:val="0A3D7C"/>
          <w:sz w:val="22"/>
        </w:rPr>
        <w:t>Concept</w:t>
      </w:r>
    </w:p>
    <w:p>
      <w:pPr>
        <w:spacing w:before="40" w:after="60"/>
      </w:pPr>
      <w:r>
        <w:rPr>
          <w:rFonts w:ascii="Calibri" w:hAnsi="Calibri"/>
          <w:b w:val="0"/>
          <w:i w:val="0"/>
          <w:color w:val="1A1A1A"/>
          <w:sz w:val="20"/>
        </w:rPr>
        <w:t>Exos licenses specific capabilities (e.g., IPS composite structures, payload integration services, or BLK3 launch slots) to FJET on a fee-for-service basis, with FJET receiving Exos warrants as part of total consideration. Alternatively, FJET pays Exos a launch-slot prepayment/deposit (creating immediate non-dilutive cash) in exchange for launch-service credits and warrants.</w:t>
      </w:r>
    </w:p>
    <w:p>
      <w:pPr>
        <w:spacing w:before="160" w:after="40"/>
      </w:pPr>
      <w:r>
        <w:rPr>
          <w:rFonts w:ascii="Calibri" w:hAnsi="Calibri"/>
          <w:b/>
          <w:color w:val="0A3D7C"/>
          <w:sz w:val="22"/>
        </w:rPr>
        <w:t>Economics</w:t>
      </w:r>
    </w:p>
    <w:p>
      <w:pPr>
        <w:spacing w:before="20" w:after="20"/>
        <w:ind w:left="360" w:hanging="259"/>
      </w:pPr>
      <w:r>
        <w:rPr>
          <w:rFonts w:ascii="Calibri" w:hAnsi="Calibri"/>
          <w:color w:val="0A3D7C"/>
          <w:sz w:val="20"/>
        </w:rPr>
        <w:t xml:space="preserve">•  </w:t>
      </w:r>
      <w:r>
        <w:rPr>
          <w:rFonts w:ascii="Calibri" w:hAnsi="Calibri"/>
          <w:color w:val="1A1A1A"/>
          <w:sz w:val="20"/>
        </w:rPr>
        <w:t>Prepayment scenario: FJET makes a $2M–$5M launch-slot prepayment / deposit credited against future Exos launch services. Exos receives immediate cash; FJET receives launch-service credits at published rates plus warrants.</w:t>
      </w:r>
    </w:p>
    <w:p>
      <w:pPr>
        <w:spacing w:before="20" w:after="20"/>
        <w:ind w:left="360" w:hanging="259"/>
      </w:pPr>
      <w:r>
        <w:rPr>
          <w:rFonts w:ascii="Calibri" w:hAnsi="Calibri"/>
          <w:color w:val="0A3D7C"/>
          <w:sz w:val="20"/>
        </w:rPr>
        <w:t xml:space="preserve">•  </w:t>
      </w:r>
      <w:r>
        <w:rPr>
          <w:rFonts w:ascii="Calibri" w:hAnsi="Calibri"/>
          <w:color w:val="1A1A1A"/>
          <w:sz w:val="20"/>
        </w:rPr>
        <w:t>License scenario: Exos earns royalties or milestone payments from FJET's use of composite-structure IP or suborbital integration services</w:t>
      </w:r>
    </w:p>
    <w:p>
      <w:pPr>
        <w:spacing w:before="20" w:after="20"/>
        <w:ind w:left="360" w:hanging="259"/>
      </w:pPr>
      <w:r>
        <w:rPr>
          <w:rFonts w:ascii="Calibri" w:hAnsi="Calibri"/>
          <w:color w:val="0A3D7C"/>
          <w:sz w:val="20"/>
        </w:rPr>
        <w:t xml:space="preserve">•  </w:t>
      </w:r>
      <w:r>
        <w:rPr>
          <w:rFonts w:ascii="Calibri" w:hAnsi="Calibri"/>
          <w:color w:val="1A1A1A"/>
          <w:sz w:val="20"/>
        </w:rPr>
        <w:t>Warrants: same structure as in Structure C — 0.5%–1.5% of Exos, exercise at 409A, vesting on launch milestones or JV revenue thresholds</w:t>
      </w:r>
    </w:p>
    <w:p>
      <w:pPr>
        <w:spacing w:before="160" w:after="40"/>
      </w:pPr>
      <w:r>
        <w:rPr>
          <w:rFonts w:ascii="Calibri" w:hAnsi="Calibri"/>
          <w:b/>
          <w:color w:val="0A3D7C"/>
          <w:sz w:val="22"/>
        </w:rPr>
        <w:t>Securities / Regulatory</w:t>
      </w:r>
    </w:p>
    <w:p>
      <w:pPr>
        <w:spacing w:before="20" w:after="20"/>
        <w:ind w:left="360" w:hanging="259"/>
      </w:pPr>
      <w:r>
        <w:rPr>
          <w:rFonts w:ascii="Calibri" w:hAnsi="Calibri"/>
          <w:color w:val="0A3D7C"/>
          <w:sz w:val="20"/>
        </w:rPr>
        <w:t xml:space="preserve">•  </w:t>
      </w:r>
      <w:r>
        <w:rPr>
          <w:rFonts w:ascii="Calibri" w:hAnsi="Calibri"/>
          <w:color w:val="1A1A1A"/>
          <w:sz w:val="20"/>
        </w:rPr>
        <w:t>Launch-slot prepayment: commercial contract; no securities registration if treated as a prepaid service, not as a security</w:t>
      </w:r>
    </w:p>
    <w:p>
      <w:pPr>
        <w:spacing w:before="20" w:after="20"/>
        <w:ind w:left="360" w:hanging="259"/>
      </w:pPr>
      <w:r>
        <w:rPr>
          <w:rFonts w:ascii="Calibri" w:hAnsi="Calibri"/>
          <w:color w:val="0A3D7C"/>
          <w:sz w:val="20"/>
        </w:rPr>
        <w:t xml:space="preserve">•  </w:t>
      </w:r>
      <w:r>
        <w:rPr>
          <w:rFonts w:ascii="Calibri" w:hAnsi="Calibri"/>
          <w:color w:val="1A1A1A"/>
          <w:sz w:val="20"/>
        </w:rPr>
        <w:t>Warrants: same Reg D analysis as Structure C</w:t>
      </w:r>
    </w:p>
    <w:p>
      <w:pPr>
        <w:spacing w:before="20" w:after="20"/>
        <w:ind w:left="360" w:hanging="259"/>
      </w:pPr>
      <w:r>
        <w:rPr>
          <w:rFonts w:ascii="Calibri" w:hAnsi="Calibri"/>
          <w:color w:val="0A3D7C"/>
          <w:sz w:val="20"/>
        </w:rPr>
        <w:t xml:space="preserve">•  </w:t>
      </w:r>
      <w:r>
        <w:rPr>
          <w:rFonts w:ascii="Calibri" w:hAnsi="Calibri"/>
          <w:color w:val="1A1A1A"/>
          <w:sz w:val="20"/>
        </w:rPr>
        <w:t>IP license: standard commercial license; no securities issues</w:t>
      </w:r>
    </w:p>
    <w:p>
      <w:pPr>
        <w:spacing w:before="20" w:after="20"/>
        <w:ind w:left="360" w:hanging="259"/>
      </w:pPr>
      <w:r>
        <w:rPr>
          <w:rFonts w:ascii="Calibri" w:hAnsi="Calibri"/>
          <w:color w:val="0A3D7C"/>
          <w:sz w:val="20"/>
        </w:rPr>
        <w:t xml:space="preserve">•  </w:t>
      </w:r>
      <w:r>
        <w:rPr>
          <w:rFonts w:ascii="Calibri" w:hAnsi="Calibri"/>
          <w:color w:val="1A1A1A"/>
          <w:sz w:val="20"/>
        </w:rPr>
        <w:t>If prepayment + warrants are combined, Counsel should confirm whether the package constitutes a 'security' under the Howey test</w:t>
      </w:r>
    </w:p>
    <w:p>
      <w:pPr>
        <w:spacing w:before="160" w:after="40"/>
      </w:pPr>
      <w:r>
        <w:rPr>
          <w:rFonts w:ascii="Calibri" w:hAnsi="Calibri"/>
          <w:b/>
          <w:color w:val="0A3D7C"/>
          <w:sz w:val="22"/>
        </w:rPr>
        <w:t>Pros</w:t>
      </w:r>
    </w:p>
    <w:p>
      <w:pPr>
        <w:spacing w:before="20" w:after="20"/>
        <w:ind w:left="360" w:hanging="259"/>
      </w:pPr>
      <w:r>
        <w:rPr>
          <w:rFonts w:ascii="Calibri" w:hAnsi="Calibri"/>
          <w:color w:val="0A3D7C"/>
          <w:sz w:val="20"/>
        </w:rPr>
        <w:t xml:space="preserve">•  </w:t>
      </w:r>
      <w:r>
        <w:rPr>
          <w:rFonts w:ascii="Calibri" w:hAnsi="Calibri"/>
          <w:color w:val="1A1A1A"/>
          <w:sz w:val="20"/>
        </w:rPr>
        <w:t>Can generate immediate non-dilutive cash for Exos (launch-slot prepayment path)</w:t>
      </w:r>
    </w:p>
    <w:p>
      <w:pPr>
        <w:spacing w:before="20" w:after="20"/>
        <w:ind w:left="360" w:hanging="259"/>
      </w:pPr>
      <w:r>
        <w:rPr>
          <w:rFonts w:ascii="Calibri" w:hAnsi="Calibri"/>
          <w:color w:val="0A3D7C"/>
          <w:sz w:val="20"/>
        </w:rPr>
        <w:t xml:space="preserve">•  </w:t>
      </w:r>
      <w:r>
        <w:rPr>
          <w:rFonts w:ascii="Calibri" w:hAnsi="Calibri"/>
          <w:color w:val="1A1A1A"/>
          <w:sz w:val="20"/>
        </w:rPr>
        <w:t>Low legal complexity; no S-4, no shareholder vote</w:t>
      </w:r>
    </w:p>
    <w:p>
      <w:pPr>
        <w:spacing w:before="20" w:after="20"/>
        <w:ind w:left="360" w:hanging="259"/>
      </w:pPr>
      <w:r>
        <w:rPr>
          <w:rFonts w:ascii="Calibri" w:hAnsi="Calibri"/>
          <w:color w:val="0A3D7C"/>
          <w:sz w:val="20"/>
        </w:rPr>
        <w:t xml:space="preserve">•  </w:t>
      </w:r>
      <w:r>
        <w:rPr>
          <w:rFonts w:ascii="Calibri" w:hAnsi="Calibri"/>
          <w:color w:val="1A1A1A"/>
          <w:sz w:val="20"/>
        </w:rPr>
        <w:t>Keeps future M&amp;A / RTO optionality fully open</w:t>
      </w:r>
    </w:p>
    <w:p>
      <w:pPr>
        <w:spacing w:before="20" w:after="20"/>
        <w:ind w:left="360" w:hanging="259"/>
      </w:pPr>
      <w:r>
        <w:rPr>
          <w:rFonts w:ascii="Calibri" w:hAnsi="Calibri"/>
          <w:color w:val="0A3D7C"/>
          <w:sz w:val="20"/>
        </w:rPr>
        <w:t xml:space="preserve">•  </w:t>
      </w:r>
      <w:r>
        <w:rPr>
          <w:rFonts w:ascii="Calibri" w:hAnsi="Calibri"/>
          <w:color w:val="1A1A1A"/>
          <w:sz w:val="20"/>
        </w:rPr>
        <w:t>Concrete commercial milestone (BLK3 flight) aligns warrant vesting with value creation</w:t>
      </w:r>
    </w:p>
    <w:p>
      <w:pPr>
        <w:spacing w:before="160" w:after="40"/>
      </w:pPr>
      <w:r>
        <w:rPr>
          <w:rFonts w:ascii="Calibri" w:hAnsi="Calibri"/>
          <w:b/>
          <w:color w:val="0A3D7C"/>
          <w:sz w:val="22"/>
        </w:rPr>
        <w:t>Cons</w:t>
      </w:r>
    </w:p>
    <w:p>
      <w:pPr>
        <w:spacing w:before="20" w:after="20"/>
        <w:ind w:left="360" w:hanging="259"/>
      </w:pPr>
      <w:r>
        <w:rPr>
          <w:rFonts w:ascii="Calibri" w:hAnsi="Calibri"/>
          <w:color w:val="0A3D7C"/>
          <w:sz w:val="20"/>
        </w:rPr>
        <w:t xml:space="preserve">•  </w:t>
      </w:r>
      <w:r>
        <w:rPr>
          <w:rFonts w:ascii="Calibri" w:hAnsi="Calibri"/>
          <w:color w:val="1A1A1A"/>
          <w:sz w:val="20"/>
        </w:rPr>
        <w:t>Cash amounts relatively small ($2M–$5M) — not sufficient standalone for BLK3 full program</w:t>
      </w:r>
    </w:p>
    <w:p>
      <w:pPr>
        <w:spacing w:before="20" w:after="20"/>
        <w:ind w:left="360" w:hanging="259"/>
      </w:pPr>
      <w:r>
        <w:rPr>
          <w:rFonts w:ascii="Calibri" w:hAnsi="Calibri"/>
          <w:color w:val="0A3D7C"/>
          <w:sz w:val="20"/>
        </w:rPr>
        <w:t xml:space="preserve">•  </w:t>
      </w:r>
      <w:r>
        <w:rPr>
          <w:rFonts w:ascii="Calibri" w:hAnsi="Calibri"/>
          <w:color w:val="1A1A1A"/>
          <w:sz w:val="20"/>
        </w:rPr>
        <w:t>FJET may not have cash available for a prepayment given current balance sheet</w:t>
      </w:r>
    </w:p>
    <w:p>
      <w:pPr>
        <w:spacing w:before="20" w:after="20"/>
        <w:ind w:left="360" w:hanging="259"/>
      </w:pPr>
      <w:r>
        <w:rPr>
          <w:rFonts w:ascii="Calibri" w:hAnsi="Calibri"/>
          <w:color w:val="0A3D7C"/>
          <w:sz w:val="20"/>
        </w:rPr>
        <w:t xml:space="preserve">•  </w:t>
      </w:r>
      <w:r>
        <w:rPr>
          <w:rFonts w:ascii="Calibri" w:hAnsi="Calibri"/>
          <w:color w:val="1A1A1A"/>
          <w:sz w:val="20"/>
        </w:rPr>
        <w:t>Warrant dilution without direct cash investment from FJET may feel imbalanced</w:t>
      </w:r>
    </w:p>
    <w:p>
      <w:pPr>
        <w:spacing w:before="160" w:after="40"/>
      </w:pPr>
      <w:r>
        <w:rPr>
          <w:rFonts w:ascii="Calibri" w:hAnsi="Calibri"/>
          <w:b/>
          <w:color w:val="0A3D7C"/>
          <w:sz w:val="22"/>
        </w:rPr>
        <w:t>Timeline estimate</w:t>
      </w:r>
    </w:p>
    <w:p>
      <w:pPr>
        <w:spacing w:before="40" w:after="60"/>
      </w:pPr>
      <w:r>
        <w:rPr>
          <w:rFonts w:ascii="Calibri" w:hAnsi="Calibri"/>
          <w:b w:val="0"/>
          <w:i w:val="0"/>
          <w:color w:val="1A1A1A"/>
          <w:sz w:val="20"/>
        </w:rPr>
        <w:t>2–4 weeks for commercial agreement; warrant terms add 2–3 weeks for legal docs.</w:t>
      </w:r>
    </w:p>
    <w:p>
      <w:pPr>
        <w:spacing w:before="160" w:after="40"/>
      </w:pPr>
      <w:r>
        <w:rPr>
          <w:rFonts w:ascii="Calibri" w:hAnsi="Calibri"/>
          <w:b/>
          <w:color w:val="0A3D7C"/>
          <w:sz w:val="22"/>
        </w:rPr>
        <w:t>Recommendation</w:t>
      </w:r>
    </w:p>
    <w:p>
      <w:pPr>
        <w:spacing w:before="40" w:after="60"/>
      </w:pPr>
      <w:r>
        <w:rPr>
          <w:rFonts w:ascii="Calibri" w:hAnsi="Calibri"/>
          <w:b/>
          <w:i w:val="0"/>
          <w:color w:val="1A1A1A"/>
          <w:sz w:val="20"/>
        </w:rPr>
        <w:t>Good supplemental structure to Layer onto Structure A or C, not a standalone. Particularly useful if FJET cannot commit $5M+ as an equity check but can prepay launch services.</w:t>
      </w:r>
    </w:p>
    <w:p>
      <w:pPr>
        <w:spacing w:before="120" w:after="120"/>
      </w:pPr>
      <w:r>
        <w:rPr>
          <w:color w:val="555555"/>
          <w:sz w:val="16"/>
        </w:rPr>
        <w:t>────────────────────────────────────────────────────────────────────────────────</w:t>
      </w:r>
    </w:p>
    <w:p>
      <w:pPr>
        <w:spacing w:before="280" w:after="80"/>
        <w:pBdr>
          <w:bottom w:val="single" w:sz="4" w:space="1" w:color="0A3D7C"/>
        </w:pBdr>
      </w:pPr>
      <w:r>
        <w:rPr>
          <w:rFonts w:ascii="Calibri" w:hAnsi="Calibri"/>
          <w:b/>
          <w:color w:val="0A3D7C"/>
          <w:sz w:val="24"/>
        </w:rPr>
        <w:t>6. SUMMARY COMPARISON</w:t>
      </w:r>
    </w:p>
    <w:p>
      <w:pPr>
        <w:spacing w:before="40" w:after="60"/>
      </w:pPr>
      <w:r>
        <w:rPr>
          <w:rFonts w:ascii="Calibri" w:hAnsi="Calibri"/>
          <w:b w:val="0"/>
          <w:i w:val="0"/>
          <w:color w:val="1A1A1A"/>
          <w:sz w:val="20"/>
        </w:rPr>
        <w:t>Structure A = Strategic Equity Investment  |  504 capacity check required; 506(b)/Rule 152 path preferred — Counsel must confirm</w:t>
      </w:r>
    </w:p>
    <w:p>
      <w:pPr>
        <w:spacing w:before="40" w:after="60"/>
      </w:pPr>
      <w:r>
        <w:rPr>
          <w:rFonts w:ascii="Calibri" w:hAnsi="Calibri"/>
          <w:b w:val="0"/>
          <w:i w:val="0"/>
          <w:color w:val="1A1A1A"/>
          <w:sz w:val="20"/>
        </w:rPr>
        <w:t>Structure B = Stock-for-Stock Merger       |  Highest strategic value; blocked by Ainigma risk and FJET condition</w:t>
      </w:r>
    </w:p>
    <w:p>
      <w:pPr>
        <w:spacing w:before="40" w:after="60"/>
      </w:pPr>
      <w:r>
        <w:rPr>
          <w:rFonts w:ascii="Calibri" w:hAnsi="Calibri"/>
          <w:b w:val="0"/>
          <w:i w:val="0"/>
          <w:color w:val="1A1A1A"/>
          <w:sz w:val="20"/>
        </w:rPr>
        <w:t>Structure C = JV / Teaming + Warrants      |  Best near-term move; execute immediately</w:t>
      </w:r>
    </w:p>
    <w:p>
      <w:pPr>
        <w:spacing w:before="40" w:after="60"/>
      </w:pPr>
      <w:r>
        <w:rPr>
          <w:rFonts w:ascii="Calibri" w:hAnsi="Calibri"/>
          <w:b w:val="0"/>
          <w:i w:val="0"/>
          <w:color w:val="1A1A1A"/>
          <w:sz w:val="20"/>
        </w:rPr>
        <w:t>Structure D = Asset Deal + Warrants        |  Supplemental; useful if FJET can't write an equity check</w:t>
      </w:r>
    </w:p>
    <w:p>
      <w:pPr>
        <w:spacing w:before="40" w:after="60"/>
      </w:pPr>
      <w:r>
        <w:rPr>
          <w:rFonts w:ascii="Calibri" w:hAnsi="Calibri"/>
          <w:b/>
          <w:i w:val="0"/>
          <w:color w:val="1A1A1A"/>
          <w:sz w:val="20"/>
        </w:rPr>
        <w:br/>
        <w:t>Recommended sequence: Execute Structure C (JV/teaming) immediately (Ask 1). Propose Structure A (equity investment) at Tim meeting — but ONLY after Counsel confirms the 504 capacity remaining and approves the Rule 506(b)/Rule 152 path (Ask 2). Add Structure D (prepayment) if FJET needs an easier entry point. Keep Structure B available as a 12–18 month strategic option if Ainigma resolves and FJET stabilizes.</w:t>
      </w:r>
    </w:p>
    <w:p>
      <w:pPr>
        <w:spacing w:before="80" w:after="80"/>
      </w:pPr>
      <w:r>
        <w:rPr>
          <w:rFonts w:ascii="Calibri" w:hAnsi="Calibri"/>
          <w:b/>
          <w:color w:val="C00000"/>
          <w:sz w:val="18"/>
        </w:rPr>
        <w:t>⚠  NOTHING in this document has been reviewed by Counsel. All figures, structures, and timelines are internal analysis only. Do not share externally until Counsel review and Jon approval.</w:t>
      </w:r>
    </w:p>
    <w:p>
      <w:pPr>
        <w:spacing w:before="240"/>
      </w:pPr>
      <w:r>
        <w:rPr>
          <w:rFonts w:ascii="Calibri" w:hAnsi="Calibri"/>
          <w:i/>
          <w:color w:val="555555"/>
          <w:sz w:val="16"/>
        </w:rPr>
        <w:t>Exos Aerospace Systems &amp; Technologies, Inc.  |  299 FM 1903, Greenville, TX 75402  |  jquinn@exosaero.com  |  (430) 966-4005  |  Proprietary — Internal Use Only</w:t>
      </w:r>
    </w:p>
    <w:sectPr w:rsidR="00D02269" w:rsidRPr="007C623E" w:rsidSect="006E0F85">
      <w:headerReference w:type="even" r:id="rId11"/>
      <w:headerReference w:type="default" r:id="rId12"/>
      <w:footerReference w:type="even" r:id="rId13"/>
      <w:footerReference w:type="default" r:id="rId14"/>
      <w:headerReference w:type="first" r:id="rId15"/>
      <w:footerReference w:type="first" r:id="rId16"/>
      <w:pgSz w:w="12240" w:h="15840"/>
      <w:pgMar w:top="1584" w:right="576" w:bottom="1152"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A9F3A" w14:textId="77777777" w:rsidR="00A928DF" w:rsidRDefault="00A928DF" w:rsidP="00A00680">
      <w:r>
        <w:separator/>
      </w:r>
    </w:p>
  </w:endnote>
  <w:endnote w:type="continuationSeparator" w:id="0">
    <w:p w14:paraId="7F79A9D2" w14:textId="77777777" w:rsidR="00A928DF" w:rsidRDefault="00A928DF" w:rsidP="00A006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77A47" w14:textId="77777777" w:rsidR="007D3D8F" w:rsidRDefault="007D3D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FC7E1" w14:textId="041F3336" w:rsidR="00153AFE" w:rsidRDefault="00153AFE" w:rsidP="00153AFE">
    <w:pPr>
      <w:pStyle w:val="Footer"/>
    </w:pPr>
  </w:p>
  <w:p w14:paraId="7E53FDB1" w14:textId="05BAE708" w:rsidR="00153AFE" w:rsidRPr="00AD1D32" w:rsidRDefault="00153AFE" w:rsidP="00153AFE">
    <w:pPr>
      <w:pStyle w:val="Footer"/>
    </w:pPr>
  </w:p>
  <w:p w14:paraId="5BED68FB" w14:textId="3BFC5E88" w:rsidR="00153AFE" w:rsidRDefault="005205E5" w:rsidP="005205E5">
    <w:pPr>
      <w:pStyle w:val="Footer"/>
      <w:jc w:val="center"/>
    </w:pPr>
    <w:r>
      <w:rPr>
        <w:noProof/>
      </w:rPr>
      <w:drawing>
        <wp:anchor distT="0" distB="0" distL="114300" distR="114300" simplePos="0" relativeHeight="251660288" behindDoc="1" locked="0" layoutInCell="1" allowOverlap="1" wp14:anchorId="77387259" wp14:editId="5BC35EEC">
          <wp:simplePos x="0" y="0"/>
          <wp:positionH relativeFrom="page">
            <wp:align>right</wp:align>
          </wp:positionH>
          <wp:positionV relativeFrom="paragraph">
            <wp:posOffset>63690</wp:posOffset>
          </wp:positionV>
          <wp:extent cx="3425190" cy="561150"/>
          <wp:effectExtent l="0" t="0" r="0" b="0"/>
          <wp:wrapNone/>
          <wp:docPr id="1274565867" name="Picture 1274565867" descr="A picture containing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xosletterhead_footer.png"/>
                  <pic:cNvPicPr/>
                </pic:nvPicPr>
                <pic:blipFill>
                  <a:blip r:embed="rId1">
                    <a:extLst>
                      <a:ext uri="{28A0092B-C50C-407E-A947-70E740481C1C}">
                        <a14:useLocalDpi xmlns:a14="http://schemas.microsoft.com/office/drawing/2010/main" val="0"/>
                      </a:ext>
                    </a:extLst>
                  </a:blip>
                  <a:stretch>
                    <a:fillRect/>
                  </a:stretch>
                </pic:blipFill>
                <pic:spPr>
                  <a:xfrm>
                    <a:off x="0" y="0"/>
                    <a:ext cx="3425190" cy="56115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37924" w14:textId="77777777" w:rsidR="007D3D8F" w:rsidRDefault="007D3D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5324B" w14:textId="77777777" w:rsidR="00A928DF" w:rsidRDefault="00A928DF" w:rsidP="00A00680">
      <w:r>
        <w:separator/>
      </w:r>
    </w:p>
  </w:footnote>
  <w:footnote w:type="continuationSeparator" w:id="0">
    <w:p w14:paraId="2BD1F19D" w14:textId="77777777" w:rsidR="00A928DF" w:rsidRDefault="00A928DF" w:rsidP="00A006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16660" w14:textId="77777777" w:rsidR="007D3D8F" w:rsidRDefault="007D3D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0C9F5" w14:textId="096499BE" w:rsidR="00147251" w:rsidRPr="000E6BAA" w:rsidRDefault="00147251" w:rsidP="00147251">
    <w:pPr>
      <w:pStyle w:val="Header"/>
      <w:tabs>
        <w:tab w:val="left" w:pos="2874"/>
        <w:tab w:val="right" w:pos="4680"/>
        <w:tab w:val="right" w:pos="10224"/>
      </w:tabs>
      <w:rPr>
        <w:rFonts w:ascii="Tahoma" w:hAnsi="Tahoma" w:cs="Tahoma"/>
        <w:color w:val="808080" w:themeColor="background1" w:themeShade="80"/>
      </w:rPr>
    </w:pPr>
    <w:r w:rsidRPr="000E6BAA">
      <w:rPr>
        <w:rFonts w:ascii="Tahoma" w:hAnsi="Tahoma" w:cs="Tahoma"/>
        <w:noProof/>
        <w:color w:val="808080" w:themeColor="background1" w:themeShade="80"/>
      </w:rPr>
      <w:drawing>
        <wp:anchor distT="0" distB="0" distL="114300" distR="114300" simplePos="0" relativeHeight="251658240" behindDoc="1" locked="0" layoutInCell="1" allowOverlap="1" wp14:anchorId="24C38B4E" wp14:editId="74402038">
          <wp:simplePos x="0" y="0"/>
          <wp:positionH relativeFrom="column">
            <wp:posOffset>-902970</wp:posOffset>
          </wp:positionH>
          <wp:positionV relativeFrom="paragraph">
            <wp:posOffset>-468629</wp:posOffset>
          </wp:positionV>
          <wp:extent cx="2880360" cy="594844"/>
          <wp:effectExtent l="0" t="0" r="0" b="0"/>
          <wp:wrapNone/>
          <wp:docPr id="624236723" name="Picture 624236723" descr="A picture containing sit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xosletterhead_header.png"/>
                  <pic:cNvPicPr/>
                </pic:nvPicPr>
                <pic:blipFill>
                  <a:blip r:embed="rId1">
                    <a:extLst>
                      <a:ext uri="{28A0092B-C50C-407E-A947-70E740481C1C}">
                        <a14:useLocalDpi xmlns:a14="http://schemas.microsoft.com/office/drawing/2010/main" val="0"/>
                      </a:ext>
                    </a:extLst>
                  </a:blip>
                  <a:stretch>
                    <a:fillRect/>
                  </a:stretch>
                </pic:blipFill>
                <pic:spPr>
                  <a:xfrm>
                    <a:off x="0" y="0"/>
                    <a:ext cx="2896129" cy="598101"/>
                  </a:xfrm>
                  <a:prstGeom prst="rect">
                    <a:avLst/>
                  </a:prstGeom>
                </pic:spPr>
              </pic:pic>
            </a:graphicData>
          </a:graphic>
          <wp14:sizeRelH relativeFrom="page">
            <wp14:pctWidth>0</wp14:pctWidth>
          </wp14:sizeRelH>
          <wp14:sizeRelV relativeFrom="page">
            <wp14:pctHeight>0</wp14:pctHeight>
          </wp14:sizeRelV>
        </wp:anchor>
      </w:drawing>
    </w:r>
    <w:r w:rsidR="000E645B">
      <w:rPr>
        <w:rFonts w:ascii="Tahoma" w:hAnsi="Tahoma" w:cs="Tahoma"/>
        <w:color w:val="808080" w:themeColor="background1" w:themeShade="80"/>
      </w:rPr>
      <w:tab/>
    </w:r>
    <w:r w:rsidR="000E645B">
      <w:rPr>
        <w:rFonts w:ascii="Tahoma" w:hAnsi="Tahoma" w:cs="Tahoma"/>
        <w:color w:val="808080" w:themeColor="background1" w:themeShade="80"/>
      </w:rPr>
      <w:tab/>
    </w:r>
    <w:r w:rsidR="000E645B">
      <w:rPr>
        <w:rFonts w:ascii="Tahoma" w:hAnsi="Tahoma" w:cs="Tahoma"/>
        <w:color w:val="808080" w:themeColor="background1" w:themeShade="80"/>
      </w:rPr>
      <w:tab/>
    </w:r>
  </w:p>
  <w:p w14:paraId="77BB0A6B" w14:textId="1AFFC7D2" w:rsidR="000E6BAA" w:rsidRPr="000E6BAA" w:rsidRDefault="000E6BAA" w:rsidP="00BD08F1">
    <w:pPr>
      <w:pStyle w:val="Header"/>
      <w:jc w:val="center"/>
      <w:rPr>
        <w:rFonts w:ascii="Tahoma" w:hAnsi="Tahoma" w:cs="Tahoma"/>
        <w:color w:val="808080" w:themeColor="background1" w:themeShade="8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06036" w14:textId="77777777" w:rsidR="007D3D8F" w:rsidRDefault="007D3D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23731"/>
    <w:multiLevelType w:val="multilevel"/>
    <w:tmpl w:val="2A1A6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A16D92"/>
    <w:multiLevelType w:val="multilevel"/>
    <w:tmpl w:val="B816D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8E4D6A"/>
    <w:multiLevelType w:val="multilevel"/>
    <w:tmpl w:val="3E80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4803D6"/>
    <w:multiLevelType w:val="hybridMultilevel"/>
    <w:tmpl w:val="B3DECB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E823CD"/>
    <w:multiLevelType w:val="multilevel"/>
    <w:tmpl w:val="5174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830758"/>
    <w:multiLevelType w:val="multilevel"/>
    <w:tmpl w:val="B36A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5A6222"/>
    <w:multiLevelType w:val="multilevel"/>
    <w:tmpl w:val="086C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D15241"/>
    <w:multiLevelType w:val="multilevel"/>
    <w:tmpl w:val="B8C8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9E40D4"/>
    <w:multiLevelType w:val="multilevel"/>
    <w:tmpl w:val="9280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566CEB"/>
    <w:multiLevelType w:val="multilevel"/>
    <w:tmpl w:val="7E2A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A732D0"/>
    <w:multiLevelType w:val="multilevel"/>
    <w:tmpl w:val="2D40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4A1CBE"/>
    <w:multiLevelType w:val="multilevel"/>
    <w:tmpl w:val="97647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EA4EB0"/>
    <w:multiLevelType w:val="multilevel"/>
    <w:tmpl w:val="DB7E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8644693">
    <w:abstractNumId w:val="3"/>
  </w:num>
  <w:num w:numId="2" w16cid:durableId="1353528203">
    <w:abstractNumId w:val="1"/>
  </w:num>
  <w:num w:numId="3" w16cid:durableId="1015813018">
    <w:abstractNumId w:val="7"/>
  </w:num>
  <w:num w:numId="4" w16cid:durableId="2015566524">
    <w:abstractNumId w:val="4"/>
  </w:num>
  <w:num w:numId="5" w16cid:durableId="870142476">
    <w:abstractNumId w:val="8"/>
  </w:num>
  <w:num w:numId="6" w16cid:durableId="692537600">
    <w:abstractNumId w:val="9"/>
  </w:num>
  <w:num w:numId="7" w16cid:durableId="22829662">
    <w:abstractNumId w:val="6"/>
  </w:num>
  <w:num w:numId="8" w16cid:durableId="1236429732">
    <w:abstractNumId w:val="0"/>
  </w:num>
  <w:num w:numId="9" w16cid:durableId="813722674">
    <w:abstractNumId w:val="5"/>
  </w:num>
  <w:num w:numId="10" w16cid:durableId="1891838380">
    <w:abstractNumId w:val="12"/>
  </w:num>
  <w:num w:numId="11" w16cid:durableId="1136295167">
    <w:abstractNumId w:val="11"/>
  </w:num>
  <w:num w:numId="12" w16cid:durableId="111945368">
    <w:abstractNumId w:val="2"/>
  </w:num>
  <w:num w:numId="13" w16cid:durableId="3752823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28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O3NDUzNDQ0tzQzMjNV0lEKTi0uzszPAykwrAUA/DiwziwAAAA="/>
  </w:docVars>
  <w:rsids>
    <w:rsidRoot w:val="00347922"/>
    <w:rsid w:val="000D2A14"/>
    <w:rsid w:val="000D3330"/>
    <w:rsid w:val="000E645B"/>
    <w:rsid w:val="000E6BAA"/>
    <w:rsid w:val="001316D3"/>
    <w:rsid w:val="00147251"/>
    <w:rsid w:val="00153AFE"/>
    <w:rsid w:val="00166FF3"/>
    <w:rsid w:val="001C45E9"/>
    <w:rsid w:val="001C5A7E"/>
    <w:rsid w:val="001F4FE4"/>
    <w:rsid w:val="001F5095"/>
    <w:rsid w:val="00255B59"/>
    <w:rsid w:val="00265C2B"/>
    <w:rsid w:val="0029014E"/>
    <w:rsid w:val="002A2DC3"/>
    <w:rsid w:val="002A5D3B"/>
    <w:rsid w:val="00317CDE"/>
    <w:rsid w:val="00347922"/>
    <w:rsid w:val="0035562B"/>
    <w:rsid w:val="003834E3"/>
    <w:rsid w:val="00432689"/>
    <w:rsid w:val="00453A15"/>
    <w:rsid w:val="0045462F"/>
    <w:rsid w:val="00454EA1"/>
    <w:rsid w:val="00460E09"/>
    <w:rsid w:val="004B0C4B"/>
    <w:rsid w:val="005205E5"/>
    <w:rsid w:val="005C3232"/>
    <w:rsid w:val="005C77DB"/>
    <w:rsid w:val="00633CFF"/>
    <w:rsid w:val="00680BDE"/>
    <w:rsid w:val="006E0F85"/>
    <w:rsid w:val="00714763"/>
    <w:rsid w:val="007C623E"/>
    <w:rsid w:val="007D3D8F"/>
    <w:rsid w:val="008519E3"/>
    <w:rsid w:val="008D5214"/>
    <w:rsid w:val="008E1AFE"/>
    <w:rsid w:val="00905EFA"/>
    <w:rsid w:val="00961AC9"/>
    <w:rsid w:val="0098334F"/>
    <w:rsid w:val="00987FDA"/>
    <w:rsid w:val="009A7969"/>
    <w:rsid w:val="00A00680"/>
    <w:rsid w:val="00A21352"/>
    <w:rsid w:val="00A4282A"/>
    <w:rsid w:val="00A474CA"/>
    <w:rsid w:val="00A928DF"/>
    <w:rsid w:val="00AC6C96"/>
    <w:rsid w:val="00AF12DB"/>
    <w:rsid w:val="00B779D5"/>
    <w:rsid w:val="00B9321D"/>
    <w:rsid w:val="00BD08F1"/>
    <w:rsid w:val="00C321D3"/>
    <w:rsid w:val="00C8460F"/>
    <w:rsid w:val="00CD2C93"/>
    <w:rsid w:val="00D02269"/>
    <w:rsid w:val="00D82768"/>
    <w:rsid w:val="00DA7C10"/>
    <w:rsid w:val="00ED4B89"/>
    <w:rsid w:val="00EF2670"/>
    <w:rsid w:val="00F04389"/>
    <w:rsid w:val="00F17714"/>
    <w:rsid w:val="00F86327"/>
    <w:rsid w:val="00FE00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D176D9"/>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0680"/>
    <w:pPr>
      <w:tabs>
        <w:tab w:val="center" w:pos="4680"/>
        <w:tab w:val="right" w:pos="9360"/>
      </w:tabs>
    </w:pPr>
  </w:style>
  <w:style w:type="character" w:customStyle="1" w:styleId="HeaderChar">
    <w:name w:val="Header Char"/>
    <w:basedOn w:val="DefaultParagraphFont"/>
    <w:link w:val="Header"/>
    <w:uiPriority w:val="99"/>
    <w:rsid w:val="00A00680"/>
  </w:style>
  <w:style w:type="paragraph" w:styleId="Footer">
    <w:name w:val="footer"/>
    <w:basedOn w:val="Normal"/>
    <w:link w:val="FooterChar"/>
    <w:uiPriority w:val="99"/>
    <w:unhideWhenUsed/>
    <w:rsid w:val="00A00680"/>
    <w:pPr>
      <w:tabs>
        <w:tab w:val="center" w:pos="4680"/>
        <w:tab w:val="right" w:pos="9360"/>
      </w:tabs>
    </w:pPr>
  </w:style>
  <w:style w:type="character" w:customStyle="1" w:styleId="FooterChar">
    <w:name w:val="Footer Char"/>
    <w:basedOn w:val="DefaultParagraphFont"/>
    <w:link w:val="Footer"/>
    <w:uiPriority w:val="99"/>
    <w:rsid w:val="00A00680"/>
  </w:style>
  <w:style w:type="paragraph" w:styleId="ListParagraph">
    <w:name w:val="List Paragraph"/>
    <w:basedOn w:val="Normal"/>
    <w:uiPriority w:val="34"/>
    <w:qFormat/>
    <w:rsid w:val="001F4FE4"/>
    <w:pPr>
      <w:spacing w:after="160" w:line="259" w:lineRule="auto"/>
      <w:ind w:left="720"/>
      <w:contextualSpacing/>
    </w:pPr>
    <w:rPr>
      <w:kern w:val="2"/>
      <w:sz w:val="22"/>
      <w:szCs w:val="22"/>
      <w14:ligatures w14:val="standardContextual"/>
    </w:rPr>
  </w:style>
  <w:style w:type="character" w:customStyle="1" w:styleId="text-token-text-secondary">
    <w:name w:val="text-token-text-secondary"/>
    <w:basedOn w:val="DefaultParagraphFont"/>
    <w:rsid w:val="001F4FE4"/>
  </w:style>
  <w:style w:type="character" w:styleId="Hyperlink">
    <w:name w:val="Hyperlink"/>
    <w:basedOn w:val="DefaultParagraphFont"/>
    <w:uiPriority w:val="99"/>
    <w:unhideWhenUsed/>
    <w:rsid w:val="001F4FE4"/>
    <w:rPr>
      <w:color w:val="0000FF"/>
      <w:u w:val="single"/>
    </w:rPr>
  </w:style>
  <w:style w:type="paragraph" w:styleId="NormalWeb">
    <w:name w:val="Normal (Web)"/>
    <w:basedOn w:val="Normal"/>
    <w:uiPriority w:val="99"/>
    <w:semiHidden/>
    <w:unhideWhenUsed/>
    <w:rsid w:val="001F4FE4"/>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1F4FE4"/>
    <w:rPr>
      <w:b/>
      <w:bCs/>
    </w:rPr>
  </w:style>
  <w:style w:type="character" w:styleId="UnresolvedMention">
    <w:name w:val="Unresolved Mention"/>
    <w:basedOn w:val="DefaultParagraphFont"/>
    <w:uiPriority w:val="99"/>
    <w:rsid w:val="00BD08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72672">
      <w:bodyDiv w:val="1"/>
      <w:marLeft w:val="0"/>
      <w:marRight w:val="0"/>
      <w:marTop w:val="0"/>
      <w:marBottom w:val="0"/>
      <w:divBdr>
        <w:top w:val="none" w:sz="0" w:space="0" w:color="auto"/>
        <w:left w:val="none" w:sz="0" w:space="0" w:color="auto"/>
        <w:bottom w:val="none" w:sz="0" w:space="0" w:color="auto"/>
        <w:right w:val="none" w:sz="0" w:space="0" w:color="auto"/>
      </w:divBdr>
    </w:div>
    <w:div w:id="391512164">
      <w:bodyDiv w:val="1"/>
      <w:marLeft w:val="0"/>
      <w:marRight w:val="0"/>
      <w:marTop w:val="0"/>
      <w:marBottom w:val="0"/>
      <w:divBdr>
        <w:top w:val="none" w:sz="0" w:space="0" w:color="auto"/>
        <w:left w:val="none" w:sz="0" w:space="0" w:color="auto"/>
        <w:bottom w:val="none" w:sz="0" w:space="0" w:color="auto"/>
        <w:right w:val="none" w:sz="0" w:space="0" w:color="auto"/>
      </w:divBdr>
    </w:div>
    <w:div w:id="491482078">
      <w:bodyDiv w:val="1"/>
      <w:marLeft w:val="0"/>
      <w:marRight w:val="0"/>
      <w:marTop w:val="0"/>
      <w:marBottom w:val="0"/>
      <w:divBdr>
        <w:top w:val="none" w:sz="0" w:space="0" w:color="auto"/>
        <w:left w:val="none" w:sz="0" w:space="0" w:color="auto"/>
        <w:bottom w:val="none" w:sz="0" w:space="0" w:color="auto"/>
        <w:right w:val="none" w:sz="0" w:space="0" w:color="auto"/>
      </w:divBdr>
    </w:div>
    <w:div w:id="87689628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93BA222B086F94CB80A831AC79560FC" ma:contentTypeVersion="3" ma:contentTypeDescription="Create a new document." ma:contentTypeScope="" ma:versionID="263de4db15e980f31c7a9f0e35eb1966">
  <xsd:schema xmlns:xsd="http://www.w3.org/2001/XMLSchema" xmlns:xs="http://www.w3.org/2001/XMLSchema" xmlns:p="http://schemas.microsoft.com/office/2006/metadata/properties" xmlns:ns2="e1558a10-1879-455f-b4fa-cfdedf85505e" targetNamespace="http://schemas.microsoft.com/office/2006/metadata/properties" ma:root="true" ma:fieldsID="a929d5d4558f9b725dc8e1c5ef0a4e28" ns2:_="">
    <xsd:import namespace="e1558a10-1879-455f-b4fa-cfdedf85505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558a10-1879-455f-b4fa-cfdedf8550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716354C-C618-42C0-890C-B79BDC3B5D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558a10-1879-455f-b4fa-cfdedf8550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FE5F3B5-F71C-B54D-921B-25B8BE513B25}">
  <ds:schemaRefs>
    <ds:schemaRef ds:uri="http://schemas.openxmlformats.org/officeDocument/2006/bibliography"/>
  </ds:schemaRefs>
</ds:datastoreItem>
</file>

<file path=customXml/itemProps3.xml><?xml version="1.0" encoding="utf-8"?>
<ds:datastoreItem xmlns:ds="http://schemas.openxmlformats.org/officeDocument/2006/customXml" ds:itemID="{05C96887-8CC6-4F7F-BF09-CD8A4A0BF18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B38FABD-2EB8-4C41-9791-D9CBE1419BD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Huber</dc:creator>
  <cp:keywords/>
  <dc:description/>
  <cp:lastModifiedBy>John Quinn</cp:lastModifiedBy>
  <cp:revision>26</cp:revision>
  <dcterms:created xsi:type="dcterms:W3CDTF">2025-08-23T21:06:00Z</dcterms:created>
  <dcterms:modified xsi:type="dcterms:W3CDTF">2026-05-22T01:37:00Z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0x010100B93BA222B086F94CB80A831AC79560FC</vt:lpwstr>
  </property>
</Properties>
</file>