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124D" w14:textId="2A1275F1" w:rsidR="00D02269" w:rsidRPr="007C623E" w:rsidRDefault="00D02269" w:rsidP="007C623E"/>
    <w:p>
      <w:pPr>
        <w:jc w:val="center"/>
      </w:pPr>
      <w:r>
        <w:rPr>
          <w:rFonts w:ascii="Calibri" w:hAnsi="Calibri"/>
          <w:b/>
          <w:color w:val="C00000"/>
          <w:sz w:val="18"/>
        </w:rPr>
        <w:t>[ DRAFT — NON-BINDING — FOR DISCUSSION ONLY — REQUIRES COUNSEL REVIEW BEFORE TRANSMISSION ]</w:t>
      </w:r>
    </w:p>
    <w:p>
      <w:pPr>
        <w:spacing w:before="120"/>
        <w:jc w:val="center"/>
      </w:pPr>
      <w:r>
        <w:rPr>
          <w:rFonts w:ascii="Calibri" w:hAnsi="Calibri"/>
          <w:b/>
          <w:color w:val="0A3D7C"/>
          <w:sz w:val="26"/>
        </w:rPr>
        <w:t>LETTER OF INTEREST</w:t>
        <w:br/>
        <w:t>Strategic Partnership and Investment Discussion</w:t>
        <w:br/>
        <w:t>Exos Aerospace Systems &amp; Technologies, Inc.</w:t>
        <w:br/>
        <w:t>and Starfighters Space, Inc. (NYSE American: FJET)</w:t>
      </w:r>
    </w:p>
    <w:p>
      <w:pPr>
        <w:jc w:val="center"/>
      </w:pPr>
      <w:r>
        <w:rPr>
          <w:rFonts w:ascii="Calibri" w:hAnsi="Calibri"/>
          <w:i/>
          <w:color w:val="555555"/>
          <w:sz w:val="18"/>
        </w:rPr>
        <w:t>October 6, 2026  |  DRAFT — Not for distribution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 xml:space="preserve"> 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>Dear Tim,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 xml:space="preserve"> 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>Thank you for the relationship we have been building over the past months, including our mutual NDA, the MOU discussions, and the AEDC Velocity Alliance teaming work. I wanted to put forward a more structured set of ideas for how Exos and Starfighters can create value together as we head into late 2026 and 2027.</w:t>
      </w:r>
    </w:p>
    <w:p>
      <w:pPr>
        <w:spacing w:before="40" w:after="60"/>
      </w:pPr>
      <w:r>
        <w:rPr>
          <w:rFonts w:ascii="Calibri" w:hAnsi="Calibri"/>
          <w:b w:val="0"/>
          <w:i/>
          <w:color w:val="555555"/>
          <w:sz w:val="18"/>
        </w:rPr>
        <w:t>This letter is a non-binding expression of interest only. Nothing here constitutes a commitment, offer, or agreement. All terms discussed below are subject to definitive documentation, satisfactory due diligence, and approval by each company's board of directors. Exos will not proceed on any securities-related matter without review by our legal counsel. Starfighters' obligations as a public company are acknowledged, and we will manage this discussion in strict compliance with applicable securities laws, including material non-public information (MNPI) obligations.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 xml:space="preserve"> </w:t>
      </w:r>
    </w:p>
    <w:p>
      <w:pPr>
        <w:spacing w:before="280" w:after="80"/>
        <w:pBdr>
          <w:bottom w:val="single" w:sz="4" w:space="1" w:color="0A3D7C"/>
        </w:pBdr>
      </w:pPr>
      <w:r>
        <w:rPr>
          <w:rFonts w:ascii="Calibri" w:hAnsi="Calibri"/>
          <w:b/>
          <w:color w:val="0A3D7C"/>
          <w:sz w:val="24"/>
        </w:rPr>
        <w:t>1. WHY EXOS AND STARFIGHTERS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>Exos Aerospace Systems &amp; Technologies, Inc. is a Texas-based reusable launch company and one of three FAA-licensed providers of vertical-takeoff reusable rockets with demonstrated recovery and reflight [SOURCE CHECK BEFORE RELEASE: cite Exos FAA license number]. Exos has flown commercial payloads since 2018 on its SARGE vehicle. Block 3 (BLK3), the enhanced successor to SARGE, is FAA-licensed for reusable suborbital flight (license issued March 2026), with the first commercial flight of BLK3, our latest FAA-licensed vehicle, planned for early 2027.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>Starfighters operates what it describes as the world's largest fleet of commercial supersonic aircraft and is developing the STARLAUNCH air-launch program from Kennedy Space Center. STARLAUNCH 1 has completed wind tunnel testing (Mach 0.85 and 1.3, January 2026), and Starfighters has established partnerships with Blackstar Orbital for hypersonic captive-carry flight testing and with Integrated Launch Solutions for mission engineering and range integration.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>Together, Exos and Starfighters offer a test-and-qualification capability ladder that no single company presently covers commercially: supersonic captive-carry flight test (above Mach 2, FJET) through reusable suborbital launch above 85 km (Exos BLK3). We believe this ladder addresses a validated, growing demand from DoD, NASA, and commercial customers for affordable, frequent flight-test access to supersonic and near-space environments.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 xml:space="preserve"> </w:t>
      </w:r>
    </w:p>
    <w:p>
      <w:pPr>
        <w:spacing w:before="280" w:after="80"/>
        <w:pBdr>
          <w:bottom w:val="single" w:sz="4" w:space="1" w:color="0A3D7C"/>
        </w:pBdr>
      </w:pPr>
      <w:r>
        <w:rPr>
          <w:rFonts w:ascii="Calibri" w:hAnsi="Calibri"/>
          <w:b/>
          <w:color w:val="0A3D7C"/>
          <w:sz w:val="24"/>
        </w:rPr>
        <w:t>2. PROPOSED AREAS FOR DISCUSSION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>We would like to explore three areas in our meeting:</w:t>
      </w:r>
    </w:p>
    <w:p>
      <w:pPr>
        <w:spacing w:before="160" w:after="40"/>
      </w:pPr>
      <w:r>
        <w:rPr>
          <w:rFonts w:ascii="Calibri" w:hAnsi="Calibri"/>
          <w:b/>
          <w:color w:val="0A3D7C"/>
          <w:sz w:val="22"/>
        </w:rPr>
        <w:t>A. Joint Venture / Teaming Agreement with Warrants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>Formalize the working relationship we have started via the MOU into a binding teaming agreement covering joint bid pursuit for government and commercial flight-test programs. The teaming structure would include a mutual non-circumvention provision, a revenue-sharing framework for jointly won contracts, and warrant instruments (to be structured in compliance with applicable securities laws) that align our long-term incentives. This path can close in 30–60 days and directly supports our combined AEDC Velocity Alliance and AFRL pursuits.</w:t>
      </w:r>
    </w:p>
    <w:p>
      <w:pPr>
        <w:spacing w:before="160" w:after="40"/>
      </w:pPr>
      <w:r>
        <w:rPr>
          <w:rFonts w:ascii="Calibri" w:hAnsi="Calibri"/>
          <w:b/>
          <w:color w:val="0A3D7C"/>
          <w:sz w:val="22"/>
        </w:rPr>
        <w:t>B. Strategic Equity Investment by Starfighters in Exos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>We would welcome a discussion of a strategic equity investment by Starfighters in Exos, subject to applicable securities exemptions and Counsel review on both sides. Exos's most recent 409A independent valuation (March 31, 2026) provides a reference point for this discussion. A strategic investment would deepen the relationship, provide Starfighters strategic exposure to Exos's BLK3 flight cadence and reusable-launch upside, and accelerate our combined government program pursuit. We understand that any Starfighters investment decision would require FJET board approval and compliance with NYSE American rules.</w:t>
      </w:r>
    </w:p>
    <w:p>
      <w:pPr>
        <w:spacing w:before="160" w:after="40"/>
      </w:pPr>
      <w:r>
        <w:rPr>
          <w:rFonts w:ascii="Calibri" w:hAnsi="Calibri"/>
          <w:b/>
          <w:color w:val="0A3D7C"/>
          <w:sz w:val="22"/>
        </w:rPr>
        <w:t>C. Launch-Service Commercial Arrangement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>Exos would consider a launch-service prepayment or mission deposit structure that provides Starfighters with access to BLK3 launch slots at published service rates. This creates a concrete near-term commercial relationship and may be paired with the warrant structure described in Item A. Exos's BLK3 payload bay (135 kg, altitude &gt;85 km, FAA-licensed) is complementary to STARLAUNCH's air-launch profile and may serve a different portion of customer payloads.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 xml:space="preserve"> </w:t>
      </w:r>
    </w:p>
    <w:p>
      <w:pPr>
        <w:spacing w:before="280" w:after="80"/>
        <w:pBdr>
          <w:bottom w:val="single" w:sz="4" w:space="1" w:color="0A3D7C"/>
        </w:pBdr>
      </w:pPr>
      <w:r>
        <w:rPr>
          <w:rFonts w:ascii="Calibri" w:hAnsi="Calibri"/>
          <w:b/>
          <w:color w:val="0A3D7C"/>
          <w:sz w:val="24"/>
        </w:rPr>
        <w:t>3. WHAT WE ARE NOT PROPOSING</w:t>
      </w:r>
    </w:p>
    <w:p>
      <w:pPr>
        <w:spacing w:before="40" w:after="60"/>
      </w:pPr>
      <w:r>
        <w:rPr>
          <w:rFonts w:ascii="Calibri" w:hAnsi="Calibri"/>
          <w:b w:val="0"/>
          <w:i/>
          <w:color w:val="1A1A1A"/>
          <w:sz w:val="20"/>
        </w:rPr>
        <w:t>To be clear, this letter does not propose any acquisition of, or by, either party; and does not constitute an offer to purchase FJET shares or to sell Exos shares on any basis other than through a properly disclosed offering process with counsel engaged on both sides. All securities-related discussions are subject to applicable securities exemptions and Counsel review.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 xml:space="preserve"> </w:t>
      </w:r>
    </w:p>
    <w:p>
      <w:pPr>
        <w:spacing w:before="280" w:after="80"/>
        <w:pBdr>
          <w:bottom w:val="single" w:sz="4" w:space="1" w:color="0A3D7C"/>
        </w:pBdr>
      </w:pPr>
      <w:r>
        <w:rPr>
          <w:rFonts w:ascii="Calibri" w:hAnsi="Calibri"/>
          <w:b/>
          <w:color w:val="0A3D7C"/>
          <w:sz w:val="24"/>
        </w:rPr>
        <w:t>4. OUR COMMITMENT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>Exos is committed to a relationship with Starfighters that creates durable value for both companies and their stakeholders. We approach this as a partnership between two mission-driven teams that believe the commercial aerospace test-infrastructure market is at an inflection point driven by defense modernization, the SpaceX IPO repricing of the sector, and generational demand for affordable, frequent flight qualification.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>We look forward to a substantive conversation in late October and are happy to have our counsel coordinate with yours on any of the topics above.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 xml:space="preserve"> 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>Sincerely,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 xml:space="preserve"> 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 xml:space="preserve"> 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>John Quinn</w:t>
        <w:br/>
        <w:t>Cofounder &amp; CEO</w:t>
        <w:br/>
        <w:t>Exos Aerospace Systems &amp; Technologies, Inc.</w:t>
        <w:br/>
        <w:t>299 FM 1903, Greenville, TX 75402</w:t>
        <w:br/>
        <w:t>jquinn@exosaero.com  |  (430) 966-4005</w:t>
      </w:r>
    </w:p>
    <w:p>
      <w:pPr>
        <w:spacing w:before="40" w:after="60"/>
      </w:pPr>
      <w:r>
        <w:rPr>
          <w:rFonts w:ascii="Calibri" w:hAnsi="Calibri"/>
          <w:b w:val="0"/>
          <w:i w:val="0"/>
          <w:color w:val="1A1A1A"/>
          <w:sz w:val="20"/>
        </w:rPr>
        <w:t xml:space="preserve"> </w:t>
      </w:r>
    </w:p>
    <w:p>
      <w:pPr>
        <w:jc w:val="center"/>
      </w:pPr>
      <w:r>
        <w:rPr>
          <w:rFonts w:ascii="Calibri" w:hAnsi="Calibri"/>
          <w:i/>
          <w:color w:val="C00000"/>
          <w:sz w:val="16"/>
        </w:rPr>
        <w:t>DRAFT — NON-BINDING INDICATION OF INTEREST ONLY — REQUIRES COUNSEL REVIEW BEFORE TRANSMISSION</w:t>
        <w:br/>
        <w:t>This document does not constitute a commitment, contract, or offer of securities. Exos Aerospace Systems &amp; Technologies, Inc.  |  Proprietary — Do Not Distribute</w:t>
      </w:r>
    </w:p>
    <w:sectPr w:rsidR="00D02269" w:rsidRPr="007C623E" w:rsidSect="006E0F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84" w:right="576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A picture containing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A picture containing sitt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