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jc w:val="center"/>
      </w:pPr>
      <w:r>
        <w:rPr>
          <w:rFonts w:ascii="Calibri" w:hAnsi="Calibri"/>
          <w:b/>
          <w:color w:val="C00000"/>
          <w:sz w:val="18"/>
        </w:rPr>
        <w:t>[ DRAFT — NON-BINDING — FOR DISCUSSION ONLY — REQUIRES COUNSEL REVIEW BEFORE TRANSMISSION ]</w:t>
      </w:r>
    </w:p>
    <w:p>
      <w:pPr>
        <w:spacing w:before="120"/>
        <w:jc w:val="center"/>
      </w:pPr>
      <w:r>
        <w:rPr>
          <w:rFonts w:ascii="Calibri" w:hAnsi="Calibri"/>
          <w:b/>
          <w:color w:val="0A3D7C"/>
          <w:sz w:val="26"/>
        </w:rPr>
        <w:t>LETTER OF INTEREST</w:t>
        <w:br/>
        <w:t>Strategic Partnership and Investment Discussion</w:t>
        <w:br/>
        <w:t>Exos Aerospace Systems &amp; Technologies, Inc.</w:t>
        <w:br/>
        <w:t>and Starfighters Space, Inc. (NYSE American: FJET)</w:t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October 6, 2026  |  DRAFT — Not for distribution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Dear Tim,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Thank you for the relationship we have been building over the past months, including our mutual NDA, the MOU discussions, and the AEDC Velocity Alliance teaming work. I wanted to put forward a more structured set of ideas for how Exos and Starfighters can create value together as we head into late 2026 and 2027.</w:t>
      </w:r>
    </w:p>
    <w:p>
      <w:pPr>
        <w:spacing w:before="40" w:after="60"/>
      </w:pPr>
      <w:r>
        <w:rPr>
          <w:rFonts w:ascii="Calibri" w:hAnsi="Calibri"/>
          <w:b w:val="0"/>
          <w:i/>
          <w:color w:val="555555"/>
          <w:sz w:val="18"/>
        </w:rPr>
        <w:t>This letter is a non-binding expression of interest only. Nothing here constitutes a commitment, offer, or agreement. All terms discussed below are subject to definitive documentation, satisfactory due diligence, and approval by each company's board of directors. Exos will not proceed on any securities-related matter without review by our legal counsel. Starfighters' obligations as a public company are acknowledged, and we will manage this discussion in strict compliance with applicable securities laws, including material non-public information (MNPI) obligations.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1. WHY EXOS AND STARFIGHTERS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Aerospace Systems &amp; Technologies, Inc. is a Texas-based reusable launch company. Exos has flown commercial payloads since 2018 on its SARGE vehicle. Block 3 (BLK3), the enhanced successor to SARGE, is FAA-licensed for reusable suborbital flight (license issued March 2026), with the first commercial flight of BLK3, our latest FAA-licensed vehicle, planned for early 2027.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Starfighters operates what it describes as the world's largest fleet of commercial supersonic aircraft and is developing the STARLAUNCH air-launch program from Kennedy Space Center. STARLAUNCH 1 has completed wind tunnel testing (Mach 0.85 and 1.3, January 2026), and Starfighters has established partnerships with Blackstar Orbital for hypersonic captive-carry flight testing and with Integrated Launch Solutions for mission engineering and range integration.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Together, Exos and Starfighters offer a test-and-qualification capability ladder that no single company presently covers commercially: supersonic captive-carry flight test (above Mach 2, FJET) through reusable suborbital launch above 85 km (Exos BLK3). We believe this ladder addresses a validated, growing demand from DoD, NASA, and commercial customers for affordable, frequent flight-test access to supersonic and near-space environments.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2. PROPOSED AREAS FOR DISCUSSION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like to explore three areas in our meeting: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A. Joint Venture / Teaming Agreement with Warrants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Formalize the working relationship we have started via the MOU into a binding teaming agreement covering joint bid pursuit for government and commercial flight-test programs. The teaming structure would include a mutual non-circumvention provision, a revenue-sharing framework for jointly won contracts, and warrant instruments (to be structured in compliance with applicable securities laws) that align our long-term incentives. This path can close in 30–60 days and directly supports our combined AEDC Velocity Alliance and AFRL pursuits.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B. Strategic Equity Investment by Starfighters in Exos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welcome a discussion of a strategic equity investment by Starfighters in Exos, subject to applicable securities exemptions and Counsel review on both sides. Exos's most recent 409A independent valuation (March 31, 2026) provides a reference point for this discussion. A strategic investment would deepen the relationship, provide Starfighters strategic exposure to Exos's BLK3 flight cadence and reusable-launch upside, and accelerate our combined government program pursuit. We understand that any Starfighters investment decision would require FJET board approval and compliance with NYSE American rules.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C. Launch-Service Commercial Arrangement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would consider a launch-service prepayment or mission deposit structure that provides Starfighters with access to BLK3 launch slots at published service rates. This creates a concrete near-term commercial relationship and may be paired with the warrant structure described in Item A. Exos's BLK3 payload bay (135 kg, altitude &gt;85 km, FAA-licensed) is complementary to STARLAUNCH's air-launch profile and may serve a different portion of customer payloads.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3. WHAT WE ARE NOT PROPOSING</w:t>
      </w:r>
    </w:p>
    <w:p>
      <w:pPr>
        <w:spacing w:before="40" w:after="60"/>
      </w:pPr>
      <w:r>
        <w:rPr>
          <w:rFonts w:ascii="Calibri" w:hAnsi="Calibri"/>
          <w:b w:val="0"/>
          <w:i/>
          <w:color w:val="1A1A1A"/>
          <w:sz w:val="20"/>
        </w:rPr>
        <w:t>To be clear, this letter does not propose any acquisition of, or by, either party; and does not constitute an offer to purchase FJET shares or to sell Exos shares on any basis other than through a properly disclosed offering process with counsel engaged on both sides. All securities-related discussions are subject to applicable securities exemptions and Counsel review.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4. OUR COMMITMENT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is committed to a relationship with Starfighters that creates durable value for both companies and their stakeholders. We approach this as a partnership between two mission-driven teams that believe the commercial aerospace test-infrastructure market is at an inflection point driven by defense modernization, the SpaceX IPO repricing of the sector, and generational demand for affordable, frequent flight qualification.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look forward to a substantive conversation in late October and are happy to have our counsel coordinate with yours on any of the topics above.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Sincerely,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John Quinn</w:t>
        <w:br/>
        <w:t>Cofounder &amp; CEO</w:t>
        <w:br/>
        <w:t>Exos Aerospace Systems &amp; Technologies, Inc.</w:t>
        <w:br/>
        <w:t>299 FM 1903, Greenville, TX 75402</w:t>
        <w:br/>
        <w:t>jquinn@exosaero.com  |  (430) 966-4005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jc w:val="center"/>
      </w:pPr>
      <w:r>
        <w:rPr>
          <w:rFonts w:ascii="Calibri" w:hAnsi="Calibri"/>
          <w:i/>
          <w:color w:val="C00000"/>
          <w:sz w:val="16"/>
        </w:rPr>
        <w:t>DRAFT — NON-BINDING INDICATION OF INTEREST ONLY — REQUIRES COUNSEL REVIEW BEFORE TRANSMISSION</w:t>
        <w:br/>
        <w:t>This document does not constitute a commitment, contract, or offer of securities. Exos Aerospace Systems &amp; Technologies, Inc.  |  Proprietary — Do Not Distribute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84" w:right="576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