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</w:pPr>
      <w:r>
        <w:rPr>
          <w:b w:val="0"/>
          <w:i/>
          <w:color w:val="800000"/>
          <w:sz w:val="16"/>
        </w:rPr>
        <w:t>INTERNAL — DRAFT — NEGOTIATING TERMS — CEO eyes only</w:t>
      </w:r>
    </w:p>
    <w:p>
      <w:pPr>
        <w:spacing w:after="40" w:before="80"/>
        <w:jc w:val="center"/>
      </w:pPr>
      <w:r>
        <w:rPr>
          <w:b/>
          <w:i w:val="0"/>
          <w:color w:val="1F3A68"/>
          <w:sz w:val="28"/>
        </w:rPr>
        <w:t>EXOS AEROSPACE — SSLC OPTION B ACQUISITION OFFER</w:t>
      </w:r>
    </w:p>
    <w:p>
      <w:pPr>
        <w:spacing w:after="120" w:before="0"/>
        <w:jc w:val="center"/>
      </w:pPr>
      <w:r>
        <w:rPr>
          <w:b w:val="0"/>
          <w:i/>
          <w:color w:val="2E75B6"/>
          <w:sz w:val="20"/>
        </w:rPr>
        <w:t>Board Decision Summary · October 7, 2026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EXECUTIVE SUMMARY</w:t>
      </w:r>
    </w:p>
    <w:p>
      <w:pPr>
        <w:spacing w:after="60" w:before="0"/>
      </w:pPr>
      <w:r>
        <w:rPr>
          <w:b w:val="0"/>
          <w:i w:val="0"/>
          <w:sz w:val="20"/>
        </w:rPr>
        <w:t>Jon Quinn (CEO) has directed Exos to proceed with Option B: invoke §3 exclusivity of the May 2025 Asset Acquisition Agreement at the 2025 board-approved price, with an earn-out tied to Intuitive Machines (IM) tank deliveries and/or listed Exos stock post-RTO. Scorpius Space Launch Company (SSLC) debts are paid at face value at close, providing Jim Wertz's personal path to yes. This is separate from the ROFR the board declined; it proceeds on the signed, board-approved §3 exclusivity trigger.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DEAL TERMS (Option 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592"/>
        <w:gridCol w:w="3888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88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Base acquisition price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$3,360,000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§3 / §1 price; cash + stake credit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Cash at 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Exos cash; from Series A first close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SSLC costs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Seller's costs (§3)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Exos stake credit (18%)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($790,000)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Non-cash; existing 18% equity at 2021 basis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5% escrow holdback (§7, 12 mo.)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$168,000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Released at 12-month anniversary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debts assumed at face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 (TBV)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Microcosm/Wertz notes + AP — to verify in SSLC QB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i: IM tank revenue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5% of rev, $300K cap/yr, 3 yrs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$450K / $750K / $900K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ii: Exos stock post-RTO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0.5% of FD shares, 12-mo lockup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$600K / $1.25M / $2.1M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CONSIDERATION (Base, combined)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Low: $4.91M | Base: $5.86M | High: $6.86M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TBV = to be verified in SSLC QuickBooks (QB session expired 10/7; must verify before signing).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1-YEAR AND 5-YEAR HEADLINE NUMBERS (Exos + SSLC Consolidated)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All figures management assumptions. Exos standalone from v15 commission-only baseline. SSLC FY27 IM tanks $5M confirmed by Markus Rufer (10/2). Post-acquisition: 15% commission eliminated as intercompany.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2160"/>
        <w:gridCol w:w="2160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FY27 (Year 1)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FY31 (Year 5)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$5,500,000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$16,500,000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IM tanks $5M firm + $0.5M other FY27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Exos Standalone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$2,600,000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$16,000,000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v15 baseline excl. SSLC commission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Net Consolidated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$7,600,000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$31,600,000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intercompany elimination ($500K FY27)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+$1,240,000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+$6,015,000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Positive from close; accretive to Exos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Exos Standalone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−$4,000,000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+$5,000,000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BLK3 investment phase FY27; improving FY28+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Consolidated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−$2,760,000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+$11,015,000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Exos development costs dominate FY27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v15 Benchmark SSLC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Old acquisition model; Option B FY27 ×6.1×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Cash need at 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$3,010,000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Acquisition $2.51M + WC bridge $0.5M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Series A first 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$10,000,000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Covers acquisition, WC bridge, and Exos ops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Net remaining for Exos 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$6,990,000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SSLC cash deployment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EARN-OUT OPTIONS (Two Variants; Combined Recommended)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736"/>
        <w:gridCol w:w="2304"/>
      </w:tblGrid>
      <w:tr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i: IM Tank Revenue</w:t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ii: Exos Stock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Structure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% of SSLC IM hardware revenue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Exos common stock at listing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 i + ii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Mechanics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5% annual, $300K cap, 3-year term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0.5% of FD shares; 12-mo lockup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Each on own schedule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$450,000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$600,000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$750,000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$1,250,000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$2,100,000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Dilution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~0.5% of FD shares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~0.5% — non-material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Rationale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Rewards SSLC sellers for IM growth they enabled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Aligns SSLC sellers with Exos upside post-RTO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Best protection for all parties</w:t>
            </w:r>
          </w:p>
        </w:tc>
      </w:tr>
    </w:tbl>
    <w:p>
      <w:pPr>
        <w:spacing w:after="80" w:before="0"/>
      </w:pP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RISKS AND MITIGATIONS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§3 Trigger Gap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FNEX/Ainigma is an advisor/broker-dealer, not itself an 'investor or lender'. SSLC counsel (Danny) may challenge the trigger.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Attach countersigned FNEX agreement + investor/sponsor use-of-proceeds letter naming the SSLC asset purchase. [Confirm D-7281974 is countersigned.]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He-Tank Dispute (MC #3056)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Rev3 GHe tank fails at 4,400 psi proof; Morey questions it as a flight article. Exos faces ~$175K to take to flight.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Plan B: qualified COPV ≤$250K (Jon cap), $0.3M gap. Resolves cleanly post-acquisition as intercompany — the legal dispute disappears. Decision D-7281994.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SSLC Cash Risk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SSLC cash at QB date: $198K. Needs $0.3–0.7M to finish $984K in prepaid work. Risk of distress before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Option C (held): prepaid BLK3 tank PO $300–700K as bridge. OR close quickly before cash depletes.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Related-Party / Governance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Quinn: </w:t>
      </w:r>
      <w:r>
        <w:t>on both boards. Jon recuses from SSLC board vote; sends as Exos CEO only. Eqvista fairness opinion: engaged 8/14/2026; agreement still unsigned (held ~1 month).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Disinterested directors: </w:t>
      </w:r>
      <w:r>
        <w:t>Markus Rufer and Bob approve on SSLC side; Jon abstains.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Timing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Exclusivity window: </w:t>
      </w:r>
      <w:r>
        <w:t>90 days from ~Oct 8 = ~Jan 6, 2027. RTO close ~Mar 2027. Request extension proactively under the 'not unreasonably withhold' clause.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in Japan: </w:t>
      </w:r>
      <w:r>
        <w:t>Oct 8 – Oct 29. Named Exos officer signs while away. Reply-by date to Jim/board to be confirmed.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ASKS — Board Decision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4031"/>
        <w:gridCol w:w="2015"/>
        <w:gridCol w:w="1728"/>
      </w:tblGrid>
      <w:tr>
        <w:tc>
          <w:tcPr>
            <w:tcW w:type="dxa" w:w="4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Ask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DECIDED 10/7: Option B (A+B), Counsel deferred while negotiating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earn-out variant: tank-only, stock-only, or combined?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FNEX agreement is countersigned (D-7281974)?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Obtain investor use-of-proceeds letter naming SSLC purchase?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+ FNEX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Name Exos officer to sign while Jon is in Japan?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Set reply-by date to Jim Wertz?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Verify SSLC liabilities in QB before signing?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Exo / 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sign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505050"/>
          <w:sz w:val="16"/>
        </w:rPr>
        <w:t>Model file: drafts/EXOS_SSLC_OptionB_Acquisition_Model_2026-10-07.xlsx — all formulas, recalculates on input changes.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Draft message to Wertz/board: see SSLC_Exclusivity_Rescue_Options_and_Draft_Message_2026-10-07_DRAFT_v2.docx.</w:t>
      </w:r>
    </w:p>
    <w:p>
      <w:pPr>
        <w:spacing w:after="120" w:before="0"/>
      </w:pPr>
      <w:r>
        <w:rPr>
          <w:b w:val="0"/>
          <w:i/>
          <w:color w:val="505050"/>
          <w:sz w:val="16"/>
        </w:rPr>
        <w:t>Decision card for Jon's approval is on Mission Control under task #3544.</w:t>
      </w: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Stacked bar: funding delivered at close + forward potential (earn-outs). Base scenario shown; stock earn-out whiskers show low/high range. negotiating terms — management assumptions; SSLC debt unverified.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0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5-Year Total Compensation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2304"/>
        <w:gridCol w:w="2304"/>
        <w:gridCol w:w="1872"/>
        <w:gridCol w:w="2520"/>
      </w:tblGrid>
      <w:tr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Funding Delivered</w:t>
              <w:br/>
              <w:t>(at close, FY27)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Forward Potential</w:t>
              <w:br/>
              <w:t>(earn-outs, 3-yr)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5-Yr Total</w:t>
            </w:r>
          </w:p>
        </w:tc>
        <w:tc>
          <w:tcPr>
            <w:tcW w:type="dxa" w:w="252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$4,360,000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$6,360,000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$750K + Stock $1.25M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$4,360,000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$5,410,000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$450K + Stock $600K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$4,360,000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$7,360,000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$900K (capped) + Stock $2.1M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Model 'Total</w:t>
              <w:br/>
              <w:t>Consideration'</w:t>
              <w:br/>
              <w:t>(base; excl. WC bridge)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$3,860,000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Deal Structure sheet; WC bridge excluded from consideration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'Funding delivered' includes: cash at close $2.51M + SSLC costs $60K + Exos stake credit (non-cash) $790K + SSLC debts paid at face ~$500K (TBV) + WC bridge $500K. Model 'Total Consideration' row follows the Deal Structure sheet definition (excl. WC bridge).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Chart file: drafts/SSLC_OptionB_Total_Compensation_5yr_2026-10-07.png</w:t>
      </w:r>
    </w:p>
    <w:p>
      <w:pPr>
        <w:spacing w:after="80" w:before="0"/>
      </w:pPr>
      <w:r>
        <w:rPr>
          <w:b w:val="0"/>
          <w:i/>
          <w:color w:val="505050"/>
          <w:sz w:val="16"/>
        </w:rPr>
        <w:t>Total Compensation sheet in the model xlsx has formulas linked to Assumptions.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48" w:right="576" w:bottom="2160" w:left="1440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