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DRAFT — NOT SENT — for John Quinn review (2026-10-15)</w:t>
      </w:r>
    </w:p>
    <w:p>
      <w:r>
        <w:t>To: Alexander Maldutis &lt;alexander.maldutis@napierparkglobal.com&gt;</w:t>
      </w:r>
    </w:p>
    <w:p>
      <w:r>
        <w:t>Cc: Mike Chacos (Trade Vector)</w:t>
      </w:r>
    </w:p>
    <w:p>
      <w:r>
        <w:t>Subject: Exos update: Japan traction behind the BLK3 Flight 2 draw</w:t>
      </w:r>
    </w:p>
    <w:p/>
    <w:p>
      <w:r>
        <w:t>Alex,</w:t>
      </w:r>
    </w:p>
    <w:p>
      <w:r>
        <w:t>A quick update from Japan on the $750K Tranche A we discussed for BLK3 Flight 2 launch readiness. Demand for the second flight, and for Exos hardware and services beyond it, firmed up this week:</w:t>
      </w:r>
    </w:p>
    <w:p>
      <w:pPr>
        <w:pStyle w:val="ListBullet"/>
      </w:pPr>
      <w:r>
        <w:t>PD Aerospace (Japan) LOI for Exos to build a cryogenic tank for their vehicle: direct hardware revenue on top of launch services. [CONFIRM: signed vs. in negotiation; tank value]</w:t>
      </w:r>
    </w:p>
    <w:p>
      <w:pPr>
        <w:pStyle w:val="ListBullet"/>
      </w:pPr>
      <w:r>
        <w:t>Two large Japanese industrial conglomerates in discussions with us for services contracts. Both are under NDA, so I can't name them yet; each is a multi-year relationship, not a one-off purchase.</w:t>
      </w:r>
    </w:p>
    <w:p>
      <w:pPr>
        <w:pStyle w:val="ListBullet"/>
      </w:pPr>
      <w:r>
        <w:t>Logistics partner in place for shipping BLK3 from Texas to Japan, supporting flights from Hokkaido Spaceport alongside our U.S. operations. [CONFIRM: name NYK or keep unnamed]</w:t>
      </w:r>
    </w:p>
    <w:p>
      <w:pPr>
        <w:pStyle w:val="ListBullet"/>
      </w:pPr>
      <w:r>
        <w:t>Innovation Dojo Japan: Exos is in its Black Belt Global Venture Studio program, with investor meetings in Tokyo this week.</w:t>
      </w:r>
    </w:p>
    <w:p>
      <w:r>
        <w:t>Why this matters for the facility: Flight 1 is already funded by its anchor customer ($820K contract, $410K collected). Tranche A funds Flight 2 readiness, and the Japan pipeline adds both Flight 2 payload demand and a second, independent repayment source through tank and services revenue. The structure is unchanged: Flight 2 receivables secure the draw, with full repayment targeted by March 30, 2027.</w:t>
      </w:r>
    </w:p>
    <w:p>
      <w:r>
        <w:t>I'd like to keep Tranche A on track for an early close. Are you free for a call this week, or should we take it up when I'm in New York? [CONFIRM: NY date]</w:t>
      </w:r>
    </w:p>
    <w:p>
      <w:r>
        <w:t>Best,</w:t>
      </w:r>
    </w:p>
    <w:p>
      <w:r>
        <w:t>John Quinn</w:t>
      </w:r>
    </w:p>
    <w:p>
      <w:r>
        <w:t>Cofounder &amp; CEO, Exos Aerospace Systems &amp; Technologies, Inc.</w:t>
      </w:r>
    </w:p>
    <w:p>
      <w:r>
        <w:t>Mob. +1-972-740-8355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